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CellSpacing w:w="0" w:type="dxa"/>
        <w:tblCellMar>
          <w:left w:w="0" w:type="dxa"/>
          <w:right w:w="0" w:type="dxa"/>
        </w:tblCellMar>
        <w:tblLook w:val="04A0" w:firstRow="1" w:lastRow="0" w:firstColumn="1" w:lastColumn="0" w:noHBand="0" w:noVBand="1"/>
      </w:tblPr>
      <w:tblGrid>
        <w:gridCol w:w="10500"/>
      </w:tblGrid>
      <w:tr w:rsidR="00405AE7" w:rsidTr="00405AE7">
        <w:trPr>
          <w:trHeight w:val="4530"/>
          <w:tblCellSpacing w:w="0" w:type="dxa"/>
        </w:trPr>
        <w:tc>
          <w:tcPr>
            <w:tcW w:w="10500" w:type="dxa"/>
            <w:tcMar>
              <w:top w:w="0" w:type="dxa"/>
              <w:left w:w="1170" w:type="dxa"/>
              <w:bottom w:w="0" w:type="dxa"/>
              <w:right w:w="1695" w:type="dxa"/>
            </w:tcMar>
            <w:hideMark/>
          </w:tcPr>
          <w:p w:rsidR="00405AE7" w:rsidRDefault="00405AE7">
            <w:pPr>
              <w:pStyle w:val="Heading1"/>
              <w:spacing w:after="150" w:afterAutospacing="0" w:line="240" w:lineRule="atLeast"/>
              <w:rPr>
                <w:rFonts w:ascii="Arial" w:eastAsia="Times New Roman" w:hAnsi="Arial" w:cs="Arial"/>
                <w:b w:val="0"/>
                <w:bCs w:val="0"/>
                <w:color w:val="004891"/>
                <w:sz w:val="42"/>
                <w:szCs w:val="42"/>
              </w:rPr>
            </w:pPr>
            <w:r>
              <w:rPr>
                <w:rFonts w:ascii="Arial" w:eastAsia="Times New Roman" w:hAnsi="Arial" w:cs="Arial"/>
                <w:b w:val="0"/>
                <w:bCs w:val="0"/>
                <w:color w:val="004891"/>
                <w:sz w:val="42"/>
                <w:szCs w:val="42"/>
              </w:rPr>
              <w:t>New Resources Available on 2014 Certified EHR Technology Hardship Exception</w:t>
            </w:r>
          </w:p>
          <w:p w:rsidR="00405AE7" w:rsidRDefault="00405AE7">
            <w:pPr>
              <w:pStyle w:val="NormalWeb"/>
              <w:spacing w:line="330" w:lineRule="atLeast"/>
              <w:rPr>
                <w:rFonts w:ascii="Arial" w:hAnsi="Arial" w:cs="Arial"/>
                <w:color w:val="666666"/>
                <w:sz w:val="21"/>
                <w:szCs w:val="21"/>
              </w:rPr>
            </w:pPr>
            <w:r>
              <w:rPr>
                <w:rFonts w:ascii="Arial" w:hAnsi="Arial" w:cs="Arial"/>
                <w:color w:val="666666"/>
                <w:sz w:val="21"/>
                <w:szCs w:val="21"/>
              </w:rPr>
              <w:t>Eligible professionals and eligible hospitals that are unable to implement EHR technology certified to the 2014 edition criteria in time to successfully demonstrate meaningful use for the 2014 reporting year may be eligible for a hardship exception from the applicable Medicare payment adjustments.</w:t>
            </w:r>
          </w:p>
          <w:p w:rsidR="00405AE7" w:rsidRDefault="00405AE7">
            <w:pPr>
              <w:pStyle w:val="NormalWeb"/>
              <w:spacing w:line="330" w:lineRule="atLeast"/>
              <w:rPr>
                <w:rFonts w:ascii="Arial" w:hAnsi="Arial" w:cs="Arial"/>
                <w:color w:val="666666"/>
                <w:sz w:val="21"/>
                <w:szCs w:val="21"/>
              </w:rPr>
            </w:pPr>
            <w:r>
              <w:rPr>
                <w:rFonts w:ascii="Arial" w:hAnsi="Arial" w:cs="Arial"/>
                <w:color w:val="666666"/>
                <w:sz w:val="21"/>
                <w:szCs w:val="21"/>
              </w:rPr>
              <w:t xml:space="preserve">CMS has released additional guidance on the 2014 certified EHR technology (CEHRT) hardship exception for the Medicare EHR Incentive Program. </w:t>
            </w:r>
            <w:proofErr w:type="spellStart"/>
            <w:r>
              <w:rPr>
                <w:rFonts w:ascii="Arial" w:hAnsi="Arial" w:cs="Arial"/>
                <w:color w:val="666666"/>
                <w:sz w:val="21"/>
                <w:szCs w:val="21"/>
              </w:rPr>
              <w:t>Tipsheets</w:t>
            </w:r>
            <w:proofErr w:type="spellEnd"/>
            <w:r>
              <w:rPr>
                <w:rFonts w:ascii="Arial" w:hAnsi="Arial" w:cs="Arial"/>
                <w:color w:val="666666"/>
                <w:sz w:val="21"/>
                <w:szCs w:val="21"/>
              </w:rPr>
              <w:t xml:space="preserve"> for </w:t>
            </w:r>
            <w:hyperlink r:id="rId4" w:history="1">
              <w:r>
                <w:rPr>
                  <w:rStyle w:val="Hyperlink"/>
                  <w:rFonts w:ascii="Arial" w:hAnsi="Arial" w:cs="Arial"/>
                  <w:b/>
                  <w:bCs/>
                  <w:color w:val="0066CC"/>
                  <w:sz w:val="21"/>
                  <w:szCs w:val="21"/>
                </w:rPr>
                <w:t>eligible professionals</w:t>
              </w:r>
            </w:hyperlink>
            <w:r>
              <w:rPr>
                <w:rFonts w:ascii="Arial" w:hAnsi="Arial" w:cs="Arial"/>
                <w:color w:val="666666"/>
                <w:sz w:val="21"/>
                <w:szCs w:val="21"/>
              </w:rPr>
              <w:t xml:space="preserve"> and </w:t>
            </w:r>
            <w:hyperlink r:id="rId5" w:history="1">
              <w:r>
                <w:rPr>
                  <w:rStyle w:val="Hyperlink"/>
                  <w:rFonts w:ascii="Arial" w:hAnsi="Arial" w:cs="Arial"/>
                  <w:b/>
                  <w:bCs/>
                  <w:color w:val="0066CC"/>
                  <w:sz w:val="21"/>
                  <w:szCs w:val="21"/>
                </w:rPr>
                <w:t>eligible hospitals</w:t>
              </w:r>
            </w:hyperlink>
            <w:r>
              <w:rPr>
                <w:rFonts w:ascii="Arial" w:hAnsi="Arial" w:cs="Arial"/>
                <w:color w:val="666666"/>
                <w:sz w:val="21"/>
                <w:szCs w:val="21"/>
              </w:rPr>
              <w:t xml:space="preserve"> are now available on the </w:t>
            </w:r>
            <w:hyperlink r:id="rId6" w:history="1">
              <w:r>
                <w:rPr>
                  <w:rStyle w:val="Hyperlink"/>
                  <w:rFonts w:ascii="Arial" w:hAnsi="Arial" w:cs="Arial"/>
                  <w:b/>
                  <w:bCs/>
                  <w:color w:val="0066CC"/>
                  <w:sz w:val="21"/>
                  <w:szCs w:val="21"/>
                </w:rPr>
                <w:t>Educational Resources</w:t>
              </w:r>
            </w:hyperlink>
            <w:r>
              <w:rPr>
                <w:rFonts w:ascii="Arial" w:hAnsi="Arial" w:cs="Arial"/>
                <w:color w:val="666666"/>
                <w:sz w:val="21"/>
                <w:szCs w:val="21"/>
              </w:rPr>
              <w:t xml:space="preserve"> page of the EHR Incentive Programs website.</w:t>
            </w:r>
          </w:p>
          <w:p w:rsidR="00405AE7" w:rsidRDefault="00405AE7">
            <w:pPr>
              <w:pStyle w:val="NormalWeb"/>
              <w:spacing w:line="330" w:lineRule="atLeast"/>
              <w:rPr>
                <w:rFonts w:ascii="Arial" w:hAnsi="Arial" w:cs="Arial"/>
                <w:color w:val="666666"/>
                <w:sz w:val="21"/>
                <w:szCs w:val="21"/>
              </w:rPr>
            </w:pPr>
            <w:r>
              <w:rPr>
                <w:rFonts w:ascii="Arial" w:hAnsi="Arial" w:cs="Arial"/>
                <w:color w:val="666666"/>
                <w:sz w:val="21"/>
                <w:szCs w:val="21"/>
              </w:rPr>
              <w:t xml:space="preserve">Updates have also been made to the Payment Adjustments &amp; Hardship Exceptions </w:t>
            </w:r>
            <w:proofErr w:type="spellStart"/>
            <w:r>
              <w:rPr>
                <w:rFonts w:ascii="Arial" w:hAnsi="Arial" w:cs="Arial"/>
                <w:color w:val="666666"/>
                <w:sz w:val="21"/>
                <w:szCs w:val="21"/>
              </w:rPr>
              <w:t>Tipsheet</w:t>
            </w:r>
            <w:proofErr w:type="spellEnd"/>
            <w:r>
              <w:rPr>
                <w:rFonts w:ascii="Arial" w:hAnsi="Arial" w:cs="Arial"/>
                <w:color w:val="666666"/>
                <w:sz w:val="21"/>
                <w:szCs w:val="21"/>
              </w:rPr>
              <w:t xml:space="preserve"> for </w:t>
            </w:r>
            <w:hyperlink r:id="rId7" w:history="1">
              <w:r>
                <w:rPr>
                  <w:rStyle w:val="Hyperlink"/>
                  <w:rFonts w:ascii="Arial" w:hAnsi="Arial" w:cs="Arial"/>
                  <w:b/>
                  <w:bCs/>
                  <w:color w:val="0066CC"/>
                  <w:sz w:val="21"/>
                  <w:szCs w:val="21"/>
                </w:rPr>
                <w:t>Eligible Professionals</w:t>
              </w:r>
            </w:hyperlink>
            <w:r>
              <w:rPr>
                <w:rFonts w:ascii="Arial" w:hAnsi="Arial" w:cs="Arial"/>
                <w:color w:val="666666"/>
                <w:sz w:val="21"/>
                <w:szCs w:val="21"/>
              </w:rPr>
              <w:t> and </w:t>
            </w:r>
            <w:hyperlink r:id="rId8" w:history="1">
              <w:r>
                <w:rPr>
                  <w:rStyle w:val="Hyperlink"/>
                  <w:rFonts w:ascii="Arial" w:hAnsi="Arial" w:cs="Arial"/>
                  <w:b/>
                  <w:bCs/>
                  <w:color w:val="0066CC"/>
                  <w:sz w:val="21"/>
                  <w:szCs w:val="21"/>
                </w:rPr>
                <w:t>Eligible Hospitals</w:t>
              </w:r>
            </w:hyperlink>
            <w:r>
              <w:rPr>
                <w:rFonts w:ascii="Arial" w:hAnsi="Arial" w:cs="Arial"/>
                <w:color w:val="666666"/>
                <w:sz w:val="21"/>
                <w:szCs w:val="21"/>
              </w:rPr>
              <w:t xml:space="preserve"> to reflect this new hardship exception.</w:t>
            </w:r>
          </w:p>
          <w:p w:rsidR="00405AE7" w:rsidRDefault="00405AE7">
            <w:pPr>
              <w:pStyle w:val="NormalWeb"/>
              <w:spacing w:line="330" w:lineRule="atLeast"/>
              <w:rPr>
                <w:rFonts w:ascii="Arial" w:hAnsi="Arial" w:cs="Arial"/>
                <w:color w:val="666666"/>
                <w:sz w:val="21"/>
                <w:szCs w:val="21"/>
              </w:rPr>
            </w:pPr>
            <w:r>
              <w:rPr>
                <w:rStyle w:val="Strong"/>
                <w:rFonts w:ascii="Arial" w:hAnsi="Arial" w:cs="Arial"/>
                <w:color w:val="EC7B05"/>
                <w:sz w:val="23"/>
                <w:szCs w:val="23"/>
              </w:rPr>
              <w:t>Payment Adjustment Timing</w:t>
            </w:r>
            <w:r>
              <w:rPr>
                <w:rFonts w:ascii="Arial" w:hAnsi="Arial" w:cs="Arial"/>
                <w:color w:val="666666"/>
                <w:sz w:val="21"/>
                <w:szCs w:val="21"/>
              </w:rPr>
              <w:br/>
              <w:t>The Medicare EHR Incentive Program payment adjustment is applied in 2016 for the 2014 reporting year for providers who demonstrated meaningful use in a previous year.  New participants in the 2014 reporting year can also apply for an exception to the 2015 payment adjustment.</w:t>
            </w:r>
          </w:p>
          <w:p w:rsidR="00405AE7" w:rsidRDefault="00405AE7">
            <w:pPr>
              <w:pStyle w:val="NormalWeb"/>
              <w:spacing w:line="330" w:lineRule="atLeast"/>
              <w:rPr>
                <w:rFonts w:ascii="Arial" w:hAnsi="Arial" w:cs="Arial"/>
                <w:color w:val="666666"/>
                <w:sz w:val="21"/>
                <w:szCs w:val="21"/>
              </w:rPr>
            </w:pPr>
            <w:r>
              <w:rPr>
                <w:rStyle w:val="Strong"/>
                <w:rFonts w:ascii="Arial" w:hAnsi="Arial" w:cs="Arial"/>
                <w:color w:val="EC7B05"/>
                <w:sz w:val="23"/>
                <w:szCs w:val="23"/>
              </w:rPr>
              <w:t>Applications and Deadlines</w:t>
            </w:r>
            <w:r>
              <w:rPr>
                <w:rFonts w:ascii="Arial" w:hAnsi="Arial" w:cs="Arial"/>
                <w:color w:val="666666"/>
                <w:sz w:val="21"/>
                <w:szCs w:val="21"/>
              </w:rPr>
              <w:br/>
              <w:t>CMS is currently accepting hardship exception applications for the 2015 payment adjustment only.</w:t>
            </w:r>
          </w:p>
          <w:p w:rsidR="00405AE7" w:rsidRDefault="00405AE7">
            <w:pPr>
              <w:pStyle w:val="NormalWeb"/>
              <w:spacing w:line="330" w:lineRule="atLeast"/>
              <w:rPr>
                <w:rFonts w:ascii="Arial" w:hAnsi="Arial" w:cs="Arial"/>
                <w:color w:val="666666"/>
                <w:sz w:val="21"/>
                <w:szCs w:val="21"/>
              </w:rPr>
            </w:pPr>
            <w:r>
              <w:rPr>
                <w:rFonts w:ascii="Arial" w:hAnsi="Arial" w:cs="Arial"/>
                <w:color w:val="666666"/>
                <w:sz w:val="21"/>
                <w:szCs w:val="21"/>
              </w:rPr>
              <w:t xml:space="preserve">Hospitals need to apply by </w:t>
            </w:r>
            <w:hyperlink r:id="rId9" w:history="1">
              <w:r>
                <w:rPr>
                  <w:rStyle w:val="Hyperlink"/>
                  <w:rFonts w:ascii="Arial" w:hAnsi="Arial" w:cs="Arial"/>
                  <w:b/>
                  <w:bCs/>
                  <w:color w:val="0066CC"/>
                  <w:sz w:val="21"/>
                  <w:szCs w:val="21"/>
                </w:rPr>
                <w:t>April 1</w:t>
              </w:r>
            </w:hyperlink>
            <w:r>
              <w:rPr>
                <w:rFonts w:ascii="Arial" w:hAnsi="Arial" w:cs="Arial"/>
                <w:color w:val="666666"/>
                <w:sz w:val="21"/>
                <w:szCs w:val="21"/>
              </w:rPr>
              <w:t xml:space="preserve">, and eligible professionals by </w:t>
            </w:r>
            <w:hyperlink r:id="rId10" w:history="1">
              <w:r>
                <w:rPr>
                  <w:rStyle w:val="Hyperlink"/>
                  <w:rFonts w:ascii="Arial" w:hAnsi="Arial" w:cs="Arial"/>
                  <w:b/>
                  <w:bCs/>
                  <w:color w:val="0066CC"/>
                  <w:sz w:val="21"/>
                  <w:szCs w:val="21"/>
                </w:rPr>
                <w:t>July 1</w:t>
              </w:r>
            </w:hyperlink>
            <w:r>
              <w:rPr>
                <w:rFonts w:ascii="Arial" w:hAnsi="Arial" w:cs="Arial"/>
                <w:color w:val="666666"/>
                <w:sz w:val="21"/>
                <w:szCs w:val="21"/>
              </w:rPr>
              <w:t>. Forms to apply for a hardship for the 2016 payment adjustment will be available after the close of the current application period.</w:t>
            </w:r>
            <w:r>
              <w:rPr>
                <w:rFonts w:ascii="Arial" w:hAnsi="Arial" w:cs="Arial"/>
                <w:color w:val="666666"/>
                <w:sz w:val="21"/>
                <w:szCs w:val="21"/>
              </w:rPr>
              <w:br/>
            </w:r>
            <w:r>
              <w:rPr>
                <w:rFonts w:ascii="Arial" w:hAnsi="Arial" w:cs="Arial"/>
                <w:color w:val="666666"/>
                <w:sz w:val="21"/>
                <w:szCs w:val="21"/>
              </w:rPr>
              <w:br/>
            </w:r>
            <w:r>
              <w:rPr>
                <w:rStyle w:val="Emphasis"/>
                <w:rFonts w:ascii="Arial" w:hAnsi="Arial" w:cs="Arial"/>
                <w:color w:val="666666"/>
                <w:sz w:val="21"/>
                <w:szCs w:val="21"/>
              </w:rPr>
              <w:t xml:space="preserve">Additional details on applying for this hardship exception are available in the new </w:t>
            </w:r>
            <w:hyperlink r:id="rId11" w:history="1">
              <w:proofErr w:type="spellStart"/>
              <w:r>
                <w:rPr>
                  <w:rStyle w:val="Emphasis"/>
                  <w:rFonts w:ascii="Arial" w:hAnsi="Arial" w:cs="Arial"/>
                  <w:b/>
                  <w:bCs/>
                  <w:color w:val="0066CC"/>
                  <w:sz w:val="21"/>
                  <w:szCs w:val="21"/>
                </w:rPr>
                <w:t>tipsheets</w:t>
              </w:r>
              <w:proofErr w:type="spellEnd"/>
              <w:r>
                <w:rPr>
                  <w:rStyle w:val="Emphasis"/>
                  <w:rFonts w:ascii="Arial" w:hAnsi="Arial" w:cs="Arial"/>
                  <w:b/>
                  <w:bCs/>
                  <w:color w:val="0066CC"/>
                  <w:sz w:val="21"/>
                  <w:szCs w:val="21"/>
                </w:rPr>
                <w:t>.</w:t>
              </w:r>
            </w:hyperlink>
          </w:p>
          <w:p w:rsidR="00405AE7" w:rsidRDefault="00405AE7">
            <w:pPr>
              <w:pStyle w:val="NormalWeb"/>
              <w:spacing w:line="330" w:lineRule="atLeast"/>
              <w:rPr>
                <w:rFonts w:ascii="Arial" w:hAnsi="Arial" w:cs="Arial"/>
                <w:color w:val="666666"/>
                <w:sz w:val="21"/>
                <w:szCs w:val="21"/>
              </w:rPr>
            </w:pPr>
            <w:r>
              <w:rPr>
                <w:rStyle w:val="Strong"/>
                <w:rFonts w:ascii="Arial" w:hAnsi="Arial" w:cs="Arial"/>
                <w:color w:val="EC7B05"/>
                <w:sz w:val="23"/>
                <w:szCs w:val="23"/>
              </w:rPr>
              <w:t xml:space="preserve">For More Information about </w:t>
            </w:r>
            <w:proofErr w:type="spellStart"/>
            <w:r>
              <w:rPr>
                <w:rStyle w:val="Strong"/>
                <w:rFonts w:ascii="Arial" w:hAnsi="Arial" w:cs="Arial"/>
                <w:color w:val="EC7B05"/>
                <w:sz w:val="23"/>
                <w:szCs w:val="23"/>
              </w:rPr>
              <w:t>eHealth</w:t>
            </w:r>
            <w:proofErr w:type="spellEnd"/>
            <w:r>
              <w:rPr>
                <w:rFonts w:ascii="Arial" w:hAnsi="Arial" w:cs="Arial"/>
                <w:color w:val="666666"/>
                <w:sz w:val="21"/>
                <w:szCs w:val="21"/>
              </w:rPr>
              <w:br/>
              <w:t xml:space="preserve">For more information about </w:t>
            </w:r>
            <w:proofErr w:type="spellStart"/>
            <w:r>
              <w:rPr>
                <w:rFonts w:ascii="Arial" w:hAnsi="Arial" w:cs="Arial"/>
                <w:color w:val="666666"/>
                <w:sz w:val="21"/>
                <w:szCs w:val="21"/>
              </w:rPr>
              <w:t>eHealth</w:t>
            </w:r>
            <w:proofErr w:type="spellEnd"/>
            <w:r>
              <w:rPr>
                <w:rFonts w:ascii="Arial" w:hAnsi="Arial" w:cs="Arial"/>
                <w:color w:val="666666"/>
                <w:sz w:val="21"/>
                <w:szCs w:val="21"/>
              </w:rPr>
              <w:t xml:space="preserve">, visit </w:t>
            </w:r>
            <w:hyperlink r:id="rId12" w:history="1">
              <w:r>
                <w:rPr>
                  <w:rStyle w:val="Hyperlink"/>
                  <w:rFonts w:ascii="Arial" w:hAnsi="Arial" w:cs="Arial"/>
                  <w:b/>
                  <w:bCs/>
                  <w:color w:val="0066CC"/>
                  <w:sz w:val="21"/>
                  <w:szCs w:val="21"/>
                </w:rPr>
                <w:t>www.cms.gov/eHealth</w:t>
              </w:r>
            </w:hyperlink>
            <w:r>
              <w:rPr>
                <w:rFonts w:ascii="Arial" w:hAnsi="Arial" w:cs="Arial"/>
                <w:color w:val="666666"/>
                <w:sz w:val="21"/>
                <w:szCs w:val="21"/>
              </w:rPr>
              <w:t>.  </w:t>
            </w:r>
          </w:p>
          <w:p w:rsidR="00405AE7" w:rsidRDefault="00405AE7">
            <w:pPr>
              <w:pStyle w:val="NormalWeb"/>
              <w:spacing w:line="330" w:lineRule="atLeast"/>
              <w:rPr>
                <w:rFonts w:ascii="Arial" w:hAnsi="Arial" w:cs="Arial"/>
                <w:color w:val="666666"/>
                <w:sz w:val="21"/>
                <w:szCs w:val="21"/>
              </w:rPr>
            </w:pPr>
            <w:r>
              <w:rPr>
                <w:rFonts w:ascii="Arial" w:hAnsi="Arial" w:cs="Arial"/>
                <w:color w:val="666666"/>
                <w:sz w:val="21"/>
                <w:szCs w:val="21"/>
              </w:rPr>
              <w:t> </w:t>
            </w:r>
          </w:p>
        </w:tc>
      </w:tr>
      <w:tr w:rsidR="00405AE7" w:rsidTr="00405AE7">
        <w:trPr>
          <w:trHeight w:val="2055"/>
          <w:tblCellSpacing w:w="0" w:type="dxa"/>
        </w:trPr>
        <w:tc>
          <w:tcPr>
            <w:tcW w:w="10500" w:type="dxa"/>
            <w:vAlign w:val="center"/>
            <w:hideMark/>
          </w:tcPr>
          <w:p w:rsidR="00405AE7" w:rsidRDefault="00405AE7">
            <w:r>
              <w:rPr>
                <w:rFonts w:ascii="Arial" w:eastAsia="Times New Roman" w:hAnsi="Arial" w:cs="Arial"/>
                <w:b/>
                <w:bCs/>
                <w:noProof/>
                <w:color w:val="004891"/>
                <w:sz w:val="42"/>
                <w:szCs w:val="42"/>
              </w:rPr>
              <w:lastRenderedPageBreak/>
              <mc:AlternateContent>
                <mc:Choice Requires="wpg">
                  <w:drawing>
                    <wp:anchor distT="0" distB="0" distL="114300" distR="114300" simplePos="0" relativeHeight="251659264" behindDoc="0" locked="1" layoutInCell="1" allowOverlap="1">
                      <wp:simplePos x="0" y="0"/>
                      <wp:positionH relativeFrom="character">
                        <wp:posOffset>581025</wp:posOffset>
                      </wp:positionH>
                      <wp:positionV relativeFrom="line">
                        <wp:posOffset>209550</wp:posOffset>
                      </wp:positionV>
                      <wp:extent cx="2962275" cy="101917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1019175"/>
                                <a:chOff x="915" y="330"/>
                                <a:chExt cx="4665" cy="1605"/>
                              </a:xfrm>
                            </wpg:grpSpPr>
                            <wps:wsp>
                              <wps:cNvPr id="9" name="Rectangle 9">
                                <a:hlinkClick r:id="rId13"/>
                              </wps:cNvPr>
                              <wps:cNvSpPr>
                                <a:spLocks noChangeArrowheads="1"/>
                              </wps:cNvSpPr>
                              <wps:spPr bwMode="auto">
                                <a:xfrm>
                                  <a:off x="3660" y="330"/>
                                  <a:ext cx="1920" cy="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a:hlinkClick r:id="rId14"/>
                              </wps:cNvPr>
                              <wps:cNvSpPr>
                                <a:spLocks noChangeArrowheads="1"/>
                              </wps:cNvSpPr>
                              <wps:spPr bwMode="auto">
                                <a:xfrm>
                                  <a:off x="915" y="420"/>
                                  <a:ext cx="2565"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F70CE" id="Group 8" o:spid="_x0000_s1026" style="position:absolute;margin-left:45.75pt;margin-top:16.5pt;width:233.25pt;height:80.25pt;z-index:251659264;mso-position-horizontal-relative:char;mso-position-vertical-relative:line" coordorigin="915,330" coordsize="466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">
                      <v:rect id="Rectangle 9" o:spid="_x0000_s1027" href="http://links.govdelivery.com/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15&amp;&amp;&amp;http://www.hhs.gov?utm_medium=email&amp;utm_source=govdelivery" style="position:absolute;left:3660;top:330;width:192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Gtb0A&#10;AADaAAAADwAAAGRycy9kb3ducmV2LnhtbESPwQrCMBBE74L/EFbwpqkeRKtRRBCtB6HaD1iatS02&#10;m9JErX9vBMHjMDNvmNWmM7V4Uusqywom4wgEcW51xYWC7LofzUE4j6yxtkwK3uRgs+73Vhhr++KU&#10;nhdfiABhF6OC0vsmltLlJRl0Y9sQB+9mW4M+yLaQusVXgJtaTqNoJg1WHBZKbGhXUn6/PIyC6Zz0&#10;Oam8PST3JJ2x4VOWHpQaDrrtEoSnzv/Dv/ZRK1jA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iGtb0AAADaAAAADwAAAAAAAAAAAAAAAACYAgAAZHJzL2Rvd25yZXYu&#10;eG1sUEsFBgAAAAAEAAQA9QAAAIIDAAAAAA==&#10;" o:button="t" filled="f" stroked="f">
                        <v:fill o:detectmouseclick="t"/>
                      </v:rect>
                      <v:rect id="Rectangle 10" o:spid="_x0000_s1028" href="http://links.govdelivery.com/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14&amp;&amp;&amp;http://www.cms.gov?utm_medium=email&amp;utm_source=govdelivery" style="position:absolute;left:915;top:420;width:256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qdcEA&#10;AADbAAAADwAAAGRycy9kb3ducmV2LnhtbESPQYvCQAyF74L/YYiwN52uB5HqWERYavewUO0PCJ3Y&#10;FjuZ0hm1++83hwVvCe/lvS/7bHK9etIYOs8GPlcJKOLa244bA9X1a7kFFSKyxd4zGfilANlhPttj&#10;av2LS3peYqMkhEOKBtoYh1TrULfkMKz8QCzazY8Oo6xjo+2ILwl3vV4nyUY77FgaWhzo1FJ9vzyc&#10;gfWW7E/RRZ8X96LcsOPvqsyN+VhMxx2oSFN8m/+vz1bwhV5+kQH0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6nXBAAAA2wAAAA8AAAAAAAAAAAAAAAAAmAIAAGRycy9kb3du&#10;cmV2LnhtbFBLBQYAAAAABAAEAPUAAACGAwAAAAA=&#10;" o:button="t" filled="f" stroked="f">
                        <v:fill o:detectmouseclick="t"/>
                      </v:rect>
                      <w10:wrap anchory="line"/>
                      <w10:anchorlock/>
                    </v:group>
                  </w:pict>
                </mc:Fallback>
              </mc:AlternateContent>
            </w:r>
            <w:r>
              <w:rPr>
                <w:noProof/>
              </w:rPr>
              <w:drawing>
                <wp:inline distT="0" distB="0" distL="0" distR="0">
                  <wp:extent cx="6667500" cy="1304925"/>
                  <wp:effectExtent l="0" t="0" r="0" b="9525"/>
                  <wp:docPr id="4" name="Picture 4" descr="http://content.govdelivery.com/attachments/fancy_images/USCMS/2013/03/159034/cms-ehealth-email-template-1-29-13-final-03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govdelivery.com/attachments/fancy_images/USCMS/2013/03/159034/cms-ehealth-email-template-1-29-13-final-03_origin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1304925"/>
                          </a:xfrm>
                          <a:prstGeom prst="rect">
                            <a:avLst/>
                          </a:prstGeom>
                          <a:noFill/>
                          <a:ln>
                            <a:noFill/>
                          </a:ln>
                        </pic:spPr>
                      </pic:pic>
                    </a:graphicData>
                  </a:graphic>
                </wp:inline>
              </w:drawing>
            </w:r>
          </w:p>
        </w:tc>
      </w:tr>
      <w:tr w:rsidR="00405AE7" w:rsidTr="00405AE7">
        <w:trPr>
          <w:trHeight w:val="2205"/>
          <w:tblCellSpacing w:w="0" w:type="dxa"/>
        </w:trPr>
        <w:tc>
          <w:tcPr>
            <w:tcW w:w="10500" w:type="dxa"/>
            <w:shd w:val="clear" w:color="auto" w:fill="FBEEBC"/>
            <w:tcMar>
              <w:top w:w="0" w:type="dxa"/>
              <w:left w:w="1200" w:type="dxa"/>
              <w:bottom w:w="0" w:type="dxa"/>
              <w:right w:w="900" w:type="dxa"/>
            </w:tcMar>
          </w:tcPr>
          <w:tbl>
            <w:tblPr>
              <w:tblW w:w="0" w:type="auto"/>
              <w:tblCellSpacing w:w="15" w:type="dxa"/>
              <w:tblCellMar>
                <w:left w:w="0" w:type="dxa"/>
                <w:right w:w="0" w:type="dxa"/>
              </w:tblCellMar>
              <w:tblLook w:val="04A0" w:firstRow="1" w:lastRow="0" w:firstColumn="1" w:lastColumn="0" w:noHBand="0" w:noVBand="1"/>
            </w:tblPr>
            <w:tblGrid>
              <w:gridCol w:w="8400"/>
            </w:tblGrid>
            <w:tr w:rsidR="00405AE7">
              <w:trPr>
                <w:tblCellSpacing w:w="15" w:type="dxa"/>
              </w:trPr>
              <w:tc>
                <w:tcPr>
                  <w:tcW w:w="8340" w:type="dxa"/>
                  <w:tcBorders>
                    <w:top w:val="nil"/>
                    <w:left w:val="nil"/>
                    <w:bottom w:val="single" w:sz="8" w:space="0" w:color="D4CCAE"/>
                    <w:right w:val="nil"/>
                  </w:tcBorders>
                  <w:tcMar>
                    <w:top w:w="120" w:type="dxa"/>
                    <w:left w:w="0" w:type="dxa"/>
                    <w:bottom w:w="120" w:type="dxa"/>
                    <w:right w:w="0" w:type="dxa"/>
                  </w:tcMar>
                  <w:vAlign w:val="center"/>
                  <w:hideMark/>
                </w:tcPr>
                <w:p w:rsidR="00405AE7" w:rsidRDefault="00405AE7">
                  <w:pPr>
                    <w:rPr>
                      <w:rFonts w:ascii="Arial" w:hAnsi="Arial" w:cs="Arial"/>
                      <w:color w:val="666666"/>
                      <w:sz w:val="21"/>
                      <w:szCs w:val="21"/>
                    </w:rPr>
                  </w:pPr>
                  <w:r>
                    <w:rPr>
                      <w:rFonts w:ascii="Arial" w:hAnsi="Arial" w:cs="Arial"/>
                      <w:color w:val="666666"/>
                      <w:sz w:val="21"/>
                      <w:szCs w:val="21"/>
                    </w:rPr>
                    <w:t xml:space="preserve">Visit the </w:t>
                  </w:r>
                  <w:hyperlink r:id="rId16" w:history="1">
                    <w:proofErr w:type="spellStart"/>
                    <w:r>
                      <w:rPr>
                        <w:rStyle w:val="Hyperlink"/>
                        <w:rFonts w:ascii="Arial" w:hAnsi="Arial" w:cs="Arial"/>
                        <w:b/>
                        <w:bCs/>
                        <w:color w:val="0066CC"/>
                        <w:sz w:val="21"/>
                        <w:szCs w:val="21"/>
                      </w:rPr>
                      <w:t>eHealth</w:t>
                    </w:r>
                    <w:proofErr w:type="spellEnd"/>
                    <w:r>
                      <w:rPr>
                        <w:rStyle w:val="Hyperlink"/>
                        <w:rFonts w:ascii="Arial" w:hAnsi="Arial" w:cs="Arial"/>
                        <w:b/>
                        <w:bCs/>
                        <w:color w:val="0066CC"/>
                        <w:sz w:val="21"/>
                        <w:szCs w:val="21"/>
                      </w:rPr>
                      <w:t xml:space="preserve"> website</w:t>
                    </w:r>
                  </w:hyperlink>
                  <w:r>
                    <w:rPr>
                      <w:rFonts w:ascii="Arial" w:hAnsi="Arial" w:cs="Arial"/>
                      <w:color w:val="666666"/>
                      <w:sz w:val="21"/>
                      <w:szCs w:val="21"/>
                    </w:rPr>
                    <w:t>                                     Stay Connected:</w:t>
                  </w:r>
                  <w:r>
                    <w:rPr>
                      <w:noProof/>
                    </w:rPr>
                    <mc:AlternateContent>
                      <mc:Choice Requires="wpg">
                        <w:drawing>
                          <wp:anchor distT="0" distB="0" distL="114300" distR="114300" simplePos="0" relativeHeight="251660288" behindDoc="0" locked="1" layoutInCell="1" allowOverlap="1">
                            <wp:simplePos x="0" y="0"/>
                            <wp:positionH relativeFrom="character">
                              <wp:posOffset>323850</wp:posOffset>
                            </wp:positionH>
                            <wp:positionV relativeFrom="line">
                              <wp:posOffset>-104775</wp:posOffset>
                            </wp:positionV>
                            <wp:extent cx="476250" cy="17145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71450"/>
                                      <a:chOff x="510" y="-165"/>
                                      <a:chExt cx="750" cy="270"/>
                                    </a:xfrm>
                                  </wpg:grpSpPr>
                                  <wps:wsp>
                                    <wps:cNvPr id="6" name="Rectangle 6">
                                      <a:hlinkClick r:id="rId17"/>
                                    </wps:cNvPr>
                                    <wps:cNvSpPr>
                                      <a:spLocks noChangeArrowheads="1"/>
                                    </wps:cNvSpPr>
                                    <wps:spPr bwMode="auto">
                                      <a:xfrm>
                                        <a:off x="510" y="-165"/>
                                        <a:ext cx="28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a:hlinkClick r:id="rId18"/>
                                    </wps:cNvPr>
                                    <wps:cNvSpPr>
                                      <a:spLocks noChangeArrowheads="1"/>
                                    </wps:cNvSpPr>
                                    <wps:spPr bwMode="auto">
                                      <a:xfrm>
                                        <a:off x="900" y="-165"/>
                                        <a:ext cx="36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F6BBA" id="Group 5" o:spid="_x0000_s1026" style="position:absolute;margin-left:25.5pt;margin-top:-8.25pt;width:37.5pt;height:13.5pt;z-index:251660288;mso-position-horizontal-relative:char;mso-position-vertical-relative:line" coordorigin="510,-165" coordsize="75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">
                            <v:rect id="Rectangle 6" o:spid="_x0000_s1027" href="http://links.govdelivery.com/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10&amp;&amp;&amp;http://www.youtube.com/user/CMSHHSgov?utm_medium=email&amp;utm_source=govdelivery" style="position:absolute;left:510;top:-165;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Sx70A&#10;AADaAAAADwAAAGRycy9kb3ducmV2LnhtbESPwQrCMBBE74L/EFbwpqkeilSjiCBaD0K1H7A0a1ts&#10;NqWJWv/eCILHYWbeMKtNbxrxpM7VlhXMphEI4sLqmksF+XU/WYBwHlljY5kUvMnBZj0crDDR9sUZ&#10;PS++FAHCLkEFlfdtIqUrKjLoprYlDt7NdgZ9kF0pdYevADeNnEdRLA3WHBYqbGlXUXG/PIyC+YL0&#10;Oa29PaT3NIvZ8CnPDk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cSx70AAADaAAAADwAAAAAAAAAAAAAAAACYAgAAZHJzL2Rvd25yZXYu&#10;eG1sUEsFBgAAAAAEAAQA9QAAAIIDAAAAAA==&#10;" o:button="t" filled="f" stroked="f">
                              <v:fill o:detectmouseclick="t"/>
                            </v:rect>
                            <v:rect id="Rectangle 7" o:spid="_x0000_s1028" href="http://links.govdelivery.com/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11&amp;&amp;&amp;https://subscriptions.cms.hhs.gov/service/multi_subscribe.html?code=USCMS&amp;custom_id=7835&amp;utm_medium=email&amp;utm_source=govdelivery" style="position:absolute;left:900;top:-165;width:36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3XL0A&#10;AADaAAAADwAAAGRycy9kb3ducmV2LnhtbESPwQrCMBBE74L/EFbwpqkeVKpRRBCtB6HaD1iatS02&#10;m9JErX9vBMHjMDNvmNWmM7V4Uusqywom4wgEcW51xYWC7LofLUA4j6yxtkwK3uRgs+73Vhhr++KU&#10;nhdfiABhF6OC0vsmltLlJRl0Y9sQB+9mW4M+yLaQusVXgJtaTqNoJg1WHBZKbGhXUn6/PIyC6YL0&#10;Oam8PST3JJ2x4VOWHpQaDrrtEoSnzv/Dv/ZRK5jD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Bu3XL0AAADaAAAADwAAAAAAAAAAAAAAAACYAgAAZHJzL2Rvd25yZXYu&#10;eG1sUEsFBgAAAAAEAAQA9QAAAIIDAAAAAA==&#10;" o:button="t" filled="f" stroked="f">
                              <v:fill o:detectmouseclick="t"/>
                            </v:rect>
                            <w10:wrap anchory="line"/>
                            <w10:anchorlock/>
                          </v:group>
                        </w:pict>
                      </mc:Fallback>
                    </mc:AlternateContent>
                  </w:r>
                  <w:r>
                    <w:rPr>
                      <w:rFonts w:ascii="Arial" w:hAnsi="Arial" w:cs="Arial"/>
                      <w:noProof/>
                      <w:color w:val="0000FF"/>
                      <w:sz w:val="21"/>
                      <w:szCs w:val="21"/>
                    </w:rPr>
                    <w:drawing>
                      <wp:inline distT="0" distB="0" distL="0" distR="0">
                        <wp:extent cx="295275" cy="285750"/>
                        <wp:effectExtent l="0" t="0" r="9525" b="0"/>
                        <wp:docPr id="3" name="Picture 3" descr="a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ascii="Arial" w:hAnsi="Arial" w:cs="Arial"/>
                      <w:noProof/>
                      <w:color w:val="0000FF"/>
                      <w:sz w:val="21"/>
                      <w:szCs w:val="21"/>
                    </w:rPr>
                    <w:drawing>
                      <wp:inline distT="0" distB="0" distL="0" distR="0">
                        <wp:extent cx="266700" cy="285750"/>
                        <wp:effectExtent l="0" t="0" r="0" b="0"/>
                        <wp:docPr id="2" name="Picture 2" descr="a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Arial" w:hAnsi="Arial" w:cs="Arial"/>
                      <w:noProof/>
                      <w:color w:val="0000FF"/>
                      <w:sz w:val="21"/>
                      <w:szCs w:val="21"/>
                    </w:rPr>
                    <w:drawing>
                      <wp:inline distT="0" distB="0" distL="0" distR="0">
                        <wp:extent cx="266700" cy="285750"/>
                        <wp:effectExtent l="0" t="0" r="0" b="0"/>
                        <wp:docPr id="1" name="Picture 1" descr="a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Arial" w:hAnsi="Arial" w:cs="Arial"/>
                      <w:color w:val="666666"/>
                      <w:sz w:val="21"/>
                      <w:szCs w:val="21"/>
                    </w:rPr>
                    <w:t xml:space="preserve"> </w:t>
                  </w:r>
                </w:p>
              </w:tc>
            </w:tr>
          </w:tbl>
          <w:p w:rsidR="00405AE7" w:rsidRDefault="00405AE7">
            <w:pPr>
              <w:spacing w:line="330" w:lineRule="atLeast"/>
              <w:rPr>
                <w:rFonts w:ascii="Arial" w:hAnsi="Arial" w:cs="Arial"/>
                <w:vanish/>
                <w:color w:val="666666"/>
                <w:sz w:val="18"/>
                <w:szCs w:val="18"/>
              </w:rPr>
            </w:pPr>
          </w:p>
          <w:tbl>
            <w:tblPr>
              <w:tblW w:w="0" w:type="auto"/>
              <w:tblCellSpacing w:w="15" w:type="dxa"/>
              <w:tblCellMar>
                <w:left w:w="0" w:type="dxa"/>
                <w:right w:w="0" w:type="dxa"/>
              </w:tblCellMar>
              <w:tblLook w:val="04A0" w:firstRow="1" w:lastRow="0" w:firstColumn="1" w:lastColumn="0" w:noHBand="0" w:noVBand="1"/>
            </w:tblPr>
            <w:tblGrid>
              <w:gridCol w:w="8400"/>
            </w:tblGrid>
            <w:tr w:rsidR="00405AE7">
              <w:trPr>
                <w:tblCellSpacing w:w="15" w:type="dxa"/>
              </w:trPr>
              <w:tc>
                <w:tcPr>
                  <w:tcW w:w="8340" w:type="dxa"/>
                  <w:tcBorders>
                    <w:top w:val="nil"/>
                    <w:left w:val="nil"/>
                    <w:bottom w:val="single" w:sz="8" w:space="0" w:color="D4CCAE"/>
                    <w:right w:val="nil"/>
                  </w:tcBorders>
                  <w:tcMar>
                    <w:top w:w="120" w:type="dxa"/>
                    <w:left w:w="0" w:type="dxa"/>
                    <w:bottom w:w="120" w:type="dxa"/>
                    <w:right w:w="0" w:type="dxa"/>
                  </w:tcMar>
                  <w:vAlign w:val="center"/>
                  <w:hideMark/>
                </w:tcPr>
                <w:p w:rsidR="00405AE7" w:rsidRDefault="00405AE7">
                  <w:pPr>
                    <w:rPr>
                      <w:rFonts w:ascii="Arial" w:hAnsi="Arial" w:cs="Arial"/>
                      <w:color w:val="666666"/>
                      <w:sz w:val="21"/>
                      <w:szCs w:val="21"/>
                    </w:rPr>
                  </w:pPr>
                  <w:r>
                    <w:rPr>
                      <w:rFonts w:ascii="Arial" w:hAnsi="Arial" w:cs="Arial"/>
                      <w:color w:val="666666"/>
                      <w:sz w:val="21"/>
                      <w:szCs w:val="21"/>
                    </w:rPr>
                    <w:t xml:space="preserve">Subscriber Services: </w:t>
                  </w:r>
                  <w:hyperlink r:id="rId23" w:history="1">
                    <w:r>
                      <w:rPr>
                        <w:rStyle w:val="Hyperlink"/>
                        <w:rFonts w:ascii="Arial" w:hAnsi="Arial" w:cs="Arial"/>
                        <w:b/>
                        <w:bCs/>
                        <w:color w:val="0066CC"/>
                        <w:sz w:val="21"/>
                        <w:szCs w:val="21"/>
                      </w:rPr>
                      <w:t>Manage Preferences</w:t>
                    </w:r>
                  </w:hyperlink>
                  <w:r>
                    <w:rPr>
                      <w:rFonts w:ascii="Arial" w:hAnsi="Arial" w:cs="Arial"/>
                      <w:color w:val="666666"/>
                      <w:sz w:val="21"/>
                      <w:szCs w:val="21"/>
                    </w:rPr>
                    <w:t xml:space="preserve"> | </w:t>
                  </w:r>
                  <w:hyperlink r:id="rId24" w:history="1">
                    <w:r>
                      <w:rPr>
                        <w:rStyle w:val="Hyperlink"/>
                        <w:rFonts w:ascii="Arial" w:hAnsi="Arial" w:cs="Arial"/>
                        <w:b/>
                        <w:bCs/>
                        <w:color w:val="0066CC"/>
                        <w:sz w:val="21"/>
                        <w:szCs w:val="21"/>
                      </w:rPr>
                      <w:t>Unsubscribe</w:t>
                    </w:r>
                  </w:hyperlink>
                </w:p>
              </w:tc>
            </w:tr>
          </w:tbl>
          <w:p w:rsidR="00405AE7" w:rsidRDefault="00405AE7">
            <w:pPr>
              <w:spacing w:line="330" w:lineRule="atLeast"/>
              <w:rPr>
                <w:rFonts w:ascii="Arial" w:hAnsi="Arial" w:cs="Arial"/>
                <w:vanish/>
                <w:color w:val="666666"/>
                <w:sz w:val="18"/>
                <w:szCs w:val="18"/>
              </w:rPr>
            </w:pPr>
          </w:p>
          <w:tbl>
            <w:tblPr>
              <w:tblW w:w="0" w:type="auto"/>
              <w:tblCellSpacing w:w="15" w:type="dxa"/>
              <w:tblCellMar>
                <w:left w:w="0" w:type="dxa"/>
                <w:right w:w="0" w:type="dxa"/>
              </w:tblCellMar>
              <w:tblLook w:val="04A0" w:firstRow="1" w:lastRow="0" w:firstColumn="1" w:lastColumn="0" w:noHBand="0" w:noVBand="1"/>
            </w:tblPr>
            <w:tblGrid>
              <w:gridCol w:w="8400"/>
            </w:tblGrid>
            <w:tr w:rsidR="00405AE7">
              <w:trPr>
                <w:tblCellSpacing w:w="15" w:type="dxa"/>
              </w:trPr>
              <w:tc>
                <w:tcPr>
                  <w:tcW w:w="8340" w:type="dxa"/>
                  <w:tcBorders>
                    <w:top w:val="nil"/>
                    <w:left w:val="nil"/>
                    <w:bottom w:val="single" w:sz="8" w:space="0" w:color="D4CCAE"/>
                    <w:right w:val="nil"/>
                  </w:tcBorders>
                  <w:tcMar>
                    <w:top w:w="120" w:type="dxa"/>
                    <w:left w:w="0" w:type="dxa"/>
                    <w:bottom w:w="120" w:type="dxa"/>
                    <w:right w:w="0" w:type="dxa"/>
                  </w:tcMar>
                  <w:vAlign w:val="center"/>
                  <w:hideMark/>
                </w:tcPr>
                <w:p w:rsidR="00405AE7" w:rsidRDefault="00405AE7">
                  <w:pPr>
                    <w:rPr>
                      <w:rFonts w:ascii="Arial" w:hAnsi="Arial" w:cs="Arial"/>
                      <w:color w:val="666666"/>
                      <w:sz w:val="21"/>
                      <w:szCs w:val="21"/>
                    </w:rPr>
                  </w:pPr>
                  <w:r>
                    <w:rPr>
                      <w:rFonts w:ascii="Arial" w:hAnsi="Arial" w:cs="Arial"/>
                      <w:color w:val="666666"/>
                      <w:sz w:val="21"/>
                      <w:szCs w:val="21"/>
                    </w:rPr>
                    <w:t xml:space="preserve">This service is provided to you by </w:t>
                  </w:r>
                  <w:hyperlink r:id="rId25" w:history="1">
                    <w:r>
                      <w:rPr>
                        <w:rStyle w:val="Hyperlink"/>
                        <w:rFonts w:ascii="Arial" w:hAnsi="Arial" w:cs="Arial"/>
                        <w:b/>
                        <w:bCs/>
                        <w:color w:val="0066CC"/>
                        <w:sz w:val="21"/>
                        <w:szCs w:val="21"/>
                      </w:rPr>
                      <w:t>Medicare and Medicaid EHR Incentive Programs</w:t>
                    </w:r>
                  </w:hyperlink>
                </w:p>
              </w:tc>
            </w:tr>
          </w:tbl>
          <w:p w:rsidR="00405AE7" w:rsidRDefault="00405AE7"/>
        </w:tc>
      </w:tr>
    </w:tbl>
    <w:p w:rsidR="003A6C97" w:rsidRDefault="003A6C97">
      <w:bookmarkStart w:id="0" w:name="_GoBack"/>
      <w:bookmarkEnd w:id="0"/>
    </w:p>
    <w:sectPr w:rsidR="003A6C97" w:rsidSect="0040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E7"/>
    <w:rsid w:val="003A6C97"/>
    <w:rsid w:val="0040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9900F-2699-4CB4-ABE4-86370B3B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E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05AE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AE7"/>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05AE7"/>
    <w:rPr>
      <w:color w:val="0000FF"/>
      <w:u w:val="single"/>
    </w:rPr>
  </w:style>
  <w:style w:type="paragraph" w:styleId="NormalWeb">
    <w:name w:val="Normal (Web)"/>
    <w:basedOn w:val="Normal"/>
    <w:uiPriority w:val="99"/>
    <w:semiHidden/>
    <w:unhideWhenUsed/>
    <w:rsid w:val="00405AE7"/>
    <w:pPr>
      <w:spacing w:before="100" w:beforeAutospacing="1" w:after="100" w:afterAutospacing="1"/>
    </w:pPr>
  </w:style>
  <w:style w:type="character" w:styleId="Strong">
    <w:name w:val="Strong"/>
    <w:basedOn w:val="DefaultParagraphFont"/>
    <w:uiPriority w:val="22"/>
    <w:qFormat/>
    <w:rsid w:val="00405AE7"/>
    <w:rPr>
      <w:b/>
      <w:bCs/>
    </w:rPr>
  </w:style>
  <w:style w:type="character" w:styleId="Emphasis">
    <w:name w:val="Emphasis"/>
    <w:basedOn w:val="DefaultParagraphFont"/>
    <w:uiPriority w:val="20"/>
    <w:qFormat/>
    <w:rsid w:val="00405A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04&amp;&amp;&amp;http://www.cms.gov/Regulations-and-Guidance/Legislation/EHRIncentivePrograms/Downloads/PaymentAdj_HardshipExcepTipsheetforHospitals.pdf" TargetMode="External"/><Relationship Id="rId13" Type="http://schemas.openxmlformats.org/officeDocument/2006/relationships/hyperlink" Target="http://links.govdelivery.com/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15&amp;&amp;&amp;http://www.hhs.gov?utm_medium=email&amp;utm_source=govdelivery" TargetMode="External"/><Relationship Id="rId18" Type="http://schemas.openxmlformats.org/officeDocument/2006/relationships/hyperlink" Target="http://links.govdelivery.com/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11&amp;&amp;&amp;https://subscriptions.cms.hhs.gov/service/multi_subscribe.html?code=USCMS&amp;custom_id=7835&amp;utm_medium=email&amp;utm_source=govdelivery"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links.govdelivery.com:80/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03&amp;&amp;&amp;http://www.cms.gov/Regulations-and-Guidance/Legislation/EHRIncentivePrograms/Downloads/PaymentAdj_HardshipExcepTipSheetforEP.pdf" TargetMode="External"/><Relationship Id="rId12" Type="http://schemas.openxmlformats.org/officeDocument/2006/relationships/hyperlink" Target="http://links.govdelivery.com:80/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07&amp;&amp;&amp;http://www.cms.gov/eHealth" TargetMode="External"/><Relationship Id="rId17" Type="http://schemas.openxmlformats.org/officeDocument/2006/relationships/hyperlink" Target="http://links.govdelivery.com/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10&amp;&amp;&amp;http://www.youtube.com/user/CMSHHSgov?utm_medium=email&amp;utm_source=govdelivery" TargetMode="External"/><Relationship Id="rId25" Type="http://schemas.openxmlformats.org/officeDocument/2006/relationships/hyperlink" Target="http://links.govdelivery.com:80/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13&amp;&amp;&amp;http://www.cms.gov/Regulations-and-Guidance/Legislation/EHRIncentivePrograms/?utm_medium=email&amp;utm_source=govdelivery" TargetMode="External"/><Relationship Id="rId2" Type="http://schemas.openxmlformats.org/officeDocument/2006/relationships/settings" Target="settings.xml"/><Relationship Id="rId16" Type="http://schemas.openxmlformats.org/officeDocument/2006/relationships/hyperlink" Target="http://links.govdelivery.com:80/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08&amp;&amp;&amp;http://www.cms.gov/ehealth?utm_medium=email&amp;utm_source=govdelivery"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links.govdelivery.com:80/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02&amp;&amp;&amp;http://www.cms.gov/Regulations-and-Guidance/Legislation/EHRIncentivePrograms/EducationalMaterials.html" TargetMode="External"/><Relationship Id="rId11" Type="http://schemas.openxmlformats.org/officeDocument/2006/relationships/hyperlink" Target="http://links.govdelivery.com:80/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02&amp;&amp;&amp;http://www.cms.gov/Regulations-and-Guidance/Legislation/EHRIncentivePrograms/EducationalMaterials.html" TargetMode="External"/><Relationship Id="rId24" Type="http://schemas.openxmlformats.org/officeDocument/2006/relationships/hyperlink" Target="http://links.govdelivery.com:80/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11&amp;&amp;&amp;https://subscriptions.cms.hhs.gov/service/multi_subscribe.html?code=USCMS&amp;custom_id=7835&amp;utm_medium=email&amp;utm_source=govdelivery" TargetMode="External"/><Relationship Id="rId5" Type="http://schemas.openxmlformats.org/officeDocument/2006/relationships/hyperlink" Target="http://links.govdelivery.com:80/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01&amp;&amp;&amp;http://www.cms.gov/Regulations-and-Guidance/Legislation/EHRIncentivePrograms/Downloads/CEHRT2014_HEGuidance_Hospitals.pdf" TargetMode="External"/><Relationship Id="rId15" Type="http://schemas.openxmlformats.org/officeDocument/2006/relationships/image" Target="media/image1.jpeg"/><Relationship Id="rId23" Type="http://schemas.openxmlformats.org/officeDocument/2006/relationships/hyperlink" Target="http://links.govdelivery.com:80/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12&amp;&amp;&amp;https://subscriptions.cms.hhs.gov/service/multi_subscribe.html?code=USCMS&amp;custom_id=566&amp;utm_medium=email&amp;utm_source=govdelivery" TargetMode="External"/><Relationship Id="rId10" Type="http://schemas.openxmlformats.org/officeDocument/2006/relationships/hyperlink" Target="http://links.govdelivery.com:80/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06&amp;&amp;&amp;http://www.cms.gov/Regulations-and-Guidance/Legislation/EHRIncentivePrograms/Downloads/HardshipException_EP_Application.pdf" TargetMode="External"/><Relationship Id="rId19" Type="http://schemas.openxmlformats.org/officeDocument/2006/relationships/hyperlink" Target="http://links.govdelivery.com/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09&amp;&amp;&amp;http://twitter.com/CMSGov?utm_medium=email&amp;utm_source=govdelivery" TargetMode="External"/><Relationship Id="rId4" Type="http://schemas.openxmlformats.org/officeDocument/2006/relationships/hyperlink" Target="http://links.govdelivery.com:80/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00&amp;&amp;&amp;http://www.cms.gov/Regulations-and-Guidance/Legislation/EHRIncentivePrograms/Downloads/CEHRT2014_HEGuidance_EPs.pdf" TargetMode="External"/><Relationship Id="rId9" Type="http://schemas.openxmlformats.org/officeDocument/2006/relationships/hyperlink" Target="http://links.govdelivery.com:80/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05&amp;&amp;&amp;http://www.cms.gov/Regulations-and-Guidance/Legislation/EHRIncentivePrograms/Downloads/HardshipException_Hospital_Application.pdf" TargetMode="External"/><Relationship Id="rId14" Type="http://schemas.openxmlformats.org/officeDocument/2006/relationships/hyperlink" Target="http://links.govdelivery.com/track?type=click&amp;enid=ZWFzPTEmbWFpbGluZ2lkPTIwMTQwMzExLjI5OTU1NDAxJm1lc3NhZ2VpZD1NREItUFJELUJVTC0yMDE0MDMxMS4yOTk1NTQwMSZkYXRhYmFzZWlkPTEwMDEmc2VyaWFsPTE2OTI0MDY5JmVtYWlsaWQ9amFpbWUudmFsb3JhQGtldGNodW0uY29tJnVzZXJpZD1qYWltZS52YWxvcmFAa2V0Y2h1bS5jb20mZmw9JmV4dHJhPU11bHRpdmFyaWF0ZUlkPSYmJg==&amp;&amp;&amp;114&amp;&amp;&amp;http://www.cms.gov?utm_medium=email&amp;utm_source=govdelivery"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gordon</dc:creator>
  <cp:keywords/>
  <dc:description/>
  <cp:lastModifiedBy>judy gordon</cp:lastModifiedBy>
  <cp:revision>1</cp:revision>
  <dcterms:created xsi:type="dcterms:W3CDTF">2014-03-20T13:35:00Z</dcterms:created>
  <dcterms:modified xsi:type="dcterms:W3CDTF">2014-03-20T13:36:00Z</dcterms:modified>
</cp:coreProperties>
</file>