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05" w:rsidRPr="003604A3" w:rsidRDefault="007C14B2" w:rsidP="00171FCB">
      <w:pPr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  <w:r w:rsidRPr="003604A3">
        <w:rPr>
          <w:rFonts w:cs="Arial"/>
          <w:b/>
        </w:rPr>
        <w:t>How to Avoid</w:t>
      </w:r>
      <w:r w:rsidR="00F6098D">
        <w:rPr>
          <w:rFonts w:cs="Arial"/>
          <w:b/>
        </w:rPr>
        <w:t xml:space="preserve"> the </w:t>
      </w:r>
      <w:r w:rsidR="00735BD4">
        <w:rPr>
          <w:rFonts w:cs="Arial"/>
          <w:b/>
        </w:rPr>
        <w:t>2016</w:t>
      </w:r>
      <w:r w:rsidR="00735BD4" w:rsidRPr="003604A3">
        <w:rPr>
          <w:rFonts w:cs="Arial"/>
          <w:b/>
        </w:rPr>
        <w:t xml:space="preserve"> </w:t>
      </w:r>
      <w:r w:rsidRPr="003604A3">
        <w:rPr>
          <w:rFonts w:cs="Arial"/>
          <w:b/>
        </w:rPr>
        <w:t>P</w:t>
      </w:r>
      <w:r w:rsidR="00D94AED">
        <w:rPr>
          <w:rFonts w:cs="Arial"/>
          <w:b/>
        </w:rPr>
        <w:t>hysician Quality Reporting System (P</w:t>
      </w:r>
      <w:r w:rsidRPr="003604A3">
        <w:rPr>
          <w:rFonts w:cs="Arial"/>
          <w:b/>
        </w:rPr>
        <w:t>QRS</w:t>
      </w:r>
      <w:r w:rsidR="00D94AED">
        <w:rPr>
          <w:rFonts w:cs="Arial"/>
          <w:b/>
        </w:rPr>
        <w:t>)</w:t>
      </w:r>
      <w:r w:rsidRPr="003604A3">
        <w:rPr>
          <w:rFonts w:cs="Arial"/>
          <w:b/>
        </w:rPr>
        <w:t xml:space="preserve"> Payment Adjustment</w:t>
      </w:r>
    </w:p>
    <w:p w:rsidR="009630E8" w:rsidRPr="00A54255" w:rsidRDefault="009630E8" w:rsidP="00171FCB">
      <w:pPr>
        <w:spacing w:after="0" w:line="240" w:lineRule="auto"/>
        <w:jc w:val="center"/>
        <w:rPr>
          <w:rFonts w:cs="Arial"/>
          <w:b/>
        </w:rPr>
      </w:pPr>
    </w:p>
    <w:p w:rsidR="00850081" w:rsidRDefault="00850081" w:rsidP="00171FCB">
      <w:pPr>
        <w:spacing w:after="0" w:line="240" w:lineRule="auto"/>
      </w:pPr>
      <w:r w:rsidRPr="00124F94">
        <w:t xml:space="preserve">The </w:t>
      </w:r>
      <w:r w:rsidR="00F75979">
        <w:t xml:space="preserve">Medicare </w:t>
      </w:r>
      <w:r w:rsidRPr="00A54255">
        <w:t>Physician Quality Reporting System (PQRS)</w:t>
      </w:r>
      <w:r w:rsidRPr="00124F94">
        <w:t xml:space="preserve"> uses a combination of incentive payments and payment adjustments to promote repor</w:t>
      </w:r>
      <w:r>
        <w:t xml:space="preserve">ting of quality information by both individual </w:t>
      </w:r>
      <w:r w:rsidR="00395FB3">
        <w:t>eligible professionals</w:t>
      </w:r>
      <w:r w:rsidR="00395FB3" w:rsidRPr="00124F94">
        <w:t xml:space="preserve"> </w:t>
      </w:r>
      <w:r w:rsidRPr="00124F94">
        <w:t>and group</w:t>
      </w:r>
      <w:r>
        <w:t xml:space="preserve"> practice</w:t>
      </w:r>
      <w:r w:rsidRPr="00124F94">
        <w:t>s</w:t>
      </w:r>
      <w:r w:rsidR="00101902">
        <w:t xml:space="preserve"> </w:t>
      </w:r>
      <w:r w:rsidR="00F75979">
        <w:t>to</w:t>
      </w:r>
      <w:r w:rsidR="00101902">
        <w:t xml:space="preserve"> the Centers for Medicare </w:t>
      </w:r>
      <w:r w:rsidR="00FA1683">
        <w:t>&amp;</w:t>
      </w:r>
      <w:r w:rsidR="00101902">
        <w:t xml:space="preserve"> Medicaid Services (CMS)</w:t>
      </w:r>
      <w:r w:rsidRPr="00124F94">
        <w:t xml:space="preserve">. </w:t>
      </w:r>
    </w:p>
    <w:p w:rsidR="00735BD4" w:rsidRDefault="00735BD4" w:rsidP="00171FCB">
      <w:pPr>
        <w:spacing w:after="0" w:line="240" w:lineRule="auto"/>
      </w:pPr>
    </w:p>
    <w:p w:rsidR="001644F5" w:rsidRDefault="00F6098D" w:rsidP="00171FCB">
      <w:pPr>
        <w:spacing w:after="0" w:line="240" w:lineRule="auto"/>
      </w:pPr>
      <w:r>
        <w:t xml:space="preserve">Eligible professionals and group practices that fail to </w:t>
      </w:r>
      <w:r w:rsidR="00E65644">
        <w:t>satisfactorily</w:t>
      </w:r>
      <w:r>
        <w:t xml:space="preserve"> report data on quality measures </w:t>
      </w:r>
      <w:r w:rsidR="00F75979">
        <w:t xml:space="preserve">during </w:t>
      </w:r>
      <w:r w:rsidR="00675C4C">
        <w:t xml:space="preserve">2014 </w:t>
      </w:r>
      <w:r>
        <w:t xml:space="preserve">will be subject to a </w:t>
      </w:r>
      <w:r w:rsidR="00675C4C">
        <w:t>2</w:t>
      </w:r>
      <w:r w:rsidR="009B196F">
        <w:t xml:space="preserve"> percent</w:t>
      </w:r>
      <w:r>
        <w:t xml:space="preserve"> </w:t>
      </w:r>
      <w:r w:rsidR="00F75979">
        <w:t>reduction to</w:t>
      </w:r>
      <w:r w:rsidR="00EE19C7">
        <w:t xml:space="preserve"> the </w:t>
      </w:r>
      <w:r w:rsidR="00F75979">
        <w:t xml:space="preserve">Medicare </w:t>
      </w:r>
      <w:r w:rsidR="008E6D85">
        <w:t xml:space="preserve">PFS </w:t>
      </w:r>
      <w:r w:rsidR="00F75979">
        <w:t>amounts</w:t>
      </w:r>
      <w:r>
        <w:t xml:space="preserve"> </w:t>
      </w:r>
      <w:r w:rsidR="00F75979">
        <w:t>for services furnished by the eligible professional or group practice during</w:t>
      </w:r>
      <w:r>
        <w:t xml:space="preserve"> </w:t>
      </w:r>
      <w:r w:rsidR="00675C4C">
        <w:t>2016</w:t>
      </w:r>
      <w:r w:rsidR="0054283A">
        <w:t>.</w:t>
      </w:r>
      <w:r w:rsidR="009B196F">
        <w:t xml:space="preserve"> </w:t>
      </w:r>
    </w:p>
    <w:p w:rsidR="001644F5" w:rsidRDefault="001644F5" w:rsidP="00171FCB">
      <w:pPr>
        <w:spacing w:after="0" w:line="240" w:lineRule="auto"/>
      </w:pPr>
    </w:p>
    <w:p w:rsidR="00666EEA" w:rsidRDefault="009B196F" w:rsidP="00171FCB">
      <w:pPr>
        <w:spacing w:after="0" w:line="240" w:lineRule="auto"/>
      </w:pPr>
      <w:r>
        <w:t xml:space="preserve">This means </w:t>
      </w:r>
      <w:r w:rsidR="00FA1683">
        <w:t>eligible professionals</w:t>
      </w:r>
      <w:r>
        <w:t xml:space="preserve"> and group practices </w:t>
      </w:r>
      <w:r w:rsidR="00D2419A">
        <w:t xml:space="preserve">who fail to satisfactorily report quality data </w:t>
      </w:r>
      <w:r w:rsidR="00652A3C">
        <w:t xml:space="preserve">during 2014 </w:t>
      </w:r>
      <w:r>
        <w:t xml:space="preserve">would </w:t>
      </w:r>
      <w:r w:rsidR="00850081">
        <w:t>receive 98</w:t>
      </w:r>
      <w:r w:rsidR="00B479A3">
        <w:t xml:space="preserve"> percent </w:t>
      </w:r>
      <w:r w:rsidR="00850081">
        <w:t xml:space="preserve">of the allowed Medicare Part B </w:t>
      </w:r>
      <w:r w:rsidR="008E6D85">
        <w:t>PFS</w:t>
      </w:r>
      <w:r w:rsidR="00850081" w:rsidRPr="00D3324E">
        <w:t xml:space="preserve"> </w:t>
      </w:r>
      <w:r w:rsidR="00850081">
        <w:t xml:space="preserve">amount for covered professional services </w:t>
      </w:r>
      <w:r w:rsidR="00D2419A">
        <w:t xml:space="preserve">provided </w:t>
      </w:r>
      <w:r w:rsidR="001204B0">
        <w:t xml:space="preserve">to Medicare beneficiaries </w:t>
      </w:r>
      <w:r w:rsidR="00BC066A">
        <w:t xml:space="preserve">between January 1, </w:t>
      </w:r>
      <w:r w:rsidR="00675C4C">
        <w:t xml:space="preserve">2016 </w:t>
      </w:r>
      <w:r w:rsidR="00BC066A">
        <w:t xml:space="preserve">and December 31, </w:t>
      </w:r>
      <w:r w:rsidR="00675C4C">
        <w:t>2016</w:t>
      </w:r>
      <w:r w:rsidR="00AA4E1E">
        <w:t>.</w:t>
      </w:r>
    </w:p>
    <w:p w:rsidR="00140336" w:rsidRDefault="00140336" w:rsidP="00171FCB">
      <w:pPr>
        <w:spacing w:after="0" w:line="240" w:lineRule="auto"/>
      </w:pPr>
    </w:p>
    <w:p w:rsidR="00D3324E" w:rsidRDefault="002137CF" w:rsidP="00171FCB">
      <w:pPr>
        <w:spacing w:after="0" w:line="240" w:lineRule="auto"/>
        <w:rPr>
          <w:b/>
        </w:rPr>
      </w:pPr>
      <w:r>
        <w:rPr>
          <w:b/>
        </w:rPr>
        <w:t>Steps to Avoid</w:t>
      </w:r>
      <w:r w:rsidR="00BC066A">
        <w:rPr>
          <w:b/>
        </w:rPr>
        <w:t xml:space="preserve"> the </w:t>
      </w:r>
      <w:r w:rsidR="00675C4C">
        <w:rPr>
          <w:b/>
        </w:rPr>
        <w:t xml:space="preserve">2016 </w:t>
      </w:r>
      <w:r w:rsidR="00BC066A">
        <w:rPr>
          <w:b/>
        </w:rPr>
        <w:t>Payment Adjustment</w:t>
      </w:r>
    </w:p>
    <w:p w:rsidR="00DE76CB" w:rsidRDefault="00FA1683" w:rsidP="00171FCB">
      <w:pPr>
        <w:spacing w:after="0" w:line="240" w:lineRule="auto"/>
      </w:pPr>
      <w:r>
        <w:t>Eligible professionals</w:t>
      </w:r>
      <w:r w:rsidR="00910D33">
        <w:t xml:space="preserve"> </w:t>
      </w:r>
      <w:r w:rsidR="00DE76CB">
        <w:t>and group</w:t>
      </w:r>
      <w:r w:rsidR="00CE7759">
        <w:t xml:space="preserve"> practice</w:t>
      </w:r>
      <w:r w:rsidR="00DE76CB">
        <w:t xml:space="preserve">s </w:t>
      </w:r>
      <w:r w:rsidR="00DE76CB" w:rsidRPr="00236963">
        <w:t xml:space="preserve">can avoid the </w:t>
      </w:r>
      <w:r w:rsidR="00675C4C" w:rsidRPr="00236963">
        <w:t>201</w:t>
      </w:r>
      <w:r w:rsidR="00675C4C">
        <w:t>6</w:t>
      </w:r>
      <w:r w:rsidR="00675C4C" w:rsidRPr="00236963">
        <w:t xml:space="preserve"> </w:t>
      </w:r>
      <w:r w:rsidR="00DE76CB" w:rsidRPr="00236963">
        <w:t>payment adjustment</w:t>
      </w:r>
      <w:r w:rsidR="00DE76CB">
        <w:t xml:space="preserve"> by meeting </w:t>
      </w:r>
      <w:r w:rsidR="00DE76CB" w:rsidRPr="0079320F">
        <w:rPr>
          <w:b/>
          <w:i/>
        </w:rPr>
        <w:t>one</w:t>
      </w:r>
      <w:r w:rsidR="00DE76CB">
        <w:t xml:space="preserve"> of the following criteria </w:t>
      </w:r>
      <w:r w:rsidR="00F75979">
        <w:t xml:space="preserve">(“satisfactory reporting”) </w:t>
      </w:r>
      <w:r w:rsidR="00DE76CB">
        <w:t xml:space="preserve">during </w:t>
      </w:r>
      <w:r w:rsidR="00D502A6">
        <w:rPr>
          <w:rFonts w:cs="Arial"/>
        </w:rPr>
        <w:t>the one-year 2014 reporting period (January 1–December 31)</w:t>
      </w:r>
      <w:r w:rsidR="00DE76CB">
        <w:t>:</w:t>
      </w:r>
    </w:p>
    <w:p w:rsidR="007D1FEA" w:rsidRDefault="007D1FEA" w:rsidP="00171FCB">
      <w:pPr>
        <w:spacing w:after="0" w:line="240" w:lineRule="auto"/>
      </w:pPr>
    </w:p>
    <w:p w:rsidR="003B56D9" w:rsidRPr="00130961" w:rsidRDefault="007D1FEA" w:rsidP="00171FCB">
      <w:pPr>
        <w:spacing w:after="0" w:line="240" w:lineRule="auto"/>
        <w:rPr>
          <w:u w:val="single"/>
        </w:rPr>
      </w:pPr>
      <w:r w:rsidRPr="00964AF2">
        <w:rPr>
          <w:u w:val="single"/>
        </w:rPr>
        <w:t xml:space="preserve">For </w:t>
      </w:r>
      <w:r w:rsidR="00CA4F74">
        <w:rPr>
          <w:u w:val="single"/>
        </w:rPr>
        <w:t xml:space="preserve">an </w:t>
      </w:r>
      <w:r w:rsidR="00F75979">
        <w:rPr>
          <w:u w:val="single"/>
        </w:rPr>
        <w:t xml:space="preserve">Individual </w:t>
      </w:r>
      <w:r w:rsidR="00CA4F74">
        <w:rPr>
          <w:u w:val="single"/>
        </w:rPr>
        <w:t>Eligible Professional</w:t>
      </w:r>
    </w:p>
    <w:p w:rsidR="002137CF" w:rsidRDefault="003B56D9" w:rsidP="00171FCB">
      <w:pPr>
        <w:spacing w:after="0" w:line="240" w:lineRule="auto"/>
      </w:pPr>
      <w:r>
        <w:t xml:space="preserve">The eligible professional </w:t>
      </w:r>
      <w:r w:rsidR="00CE7759">
        <w:t xml:space="preserve">can </w:t>
      </w:r>
      <w:r>
        <w:t>avoid the 2016 PQRS payment adjustment if the eligible professional:</w:t>
      </w:r>
    </w:p>
    <w:p w:rsidR="003B56D9" w:rsidRDefault="003B56D9" w:rsidP="00171FCB">
      <w:pPr>
        <w:spacing w:after="0" w:line="240" w:lineRule="auto"/>
      </w:pPr>
    </w:p>
    <w:p w:rsidR="00A27179" w:rsidRDefault="003B56D9" w:rsidP="00130961">
      <w:pPr>
        <w:pStyle w:val="ListParagraph"/>
        <w:numPr>
          <w:ilvl w:val="0"/>
          <w:numId w:val="1"/>
        </w:numPr>
        <w:spacing w:after="0" w:line="240" w:lineRule="auto"/>
      </w:pPr>
      <w:r>
        <w:t>M</w:t>
      </w:r>
      <w:r w:rsidR="00670671">
        <w:t>eet</w:t>
      </w:r>
      <w:r w:rsidR="00BC066A">
        <w:t>s</w:t>
      </w:r>
      <w:r w:rsidR="00670671">
        <w:t xml:space="preserve"> the </w:t>
      </w:r>
      <w:r w:rsidR="00F75979">
        <w:t xml:space="preserve">criteria for satisfactory reporting adopted for </w:t>
      </w:r>
      <w:r w:rsidR="00A27179">
        <w:t xml:space="preserve">the </w:t>
      </w:r>
      <w:r w:rsidR="00675C4C" w:rsidRPr="00A27179">
        <w:t>201</w:t>
      </w:r>
      <w:r w:rsidR="00675C4C">
        <w:t>4</w:t>
      </w:r>
      <w:r w:rsidR="00675C4C" w:rsidRPr="00A27179">
        <w:t xml:space="preserve"> </w:t>
      </w:r>
      <w:r w:rsidR="00A27179" w:rsidRPr="00A27179">
        <w:t xml:space="preserve">PQRS </w:t>
      </w:r>
      <w:r w:rsidR="00675C4C">
        <w:t>incentive</w:t>
      </w:r>
      <w:r w:rsidR="00F75979">
        <w:t>, which are identified in</w:t>
      </w:r>
      <w:r w:rsidR="008D201D">
        <w:t xml:space="preserve"> the </w:t>
      </w:r>
      <w:r w:rsidR="009D1AAC">
        <w:t>2</w:t>
      </w:r>
      <w:r w:rsidR="00675C4C">
        <w:t xml:space="preserve">014 </w:t>
      </w:r>
      <w:r w:rsidR="008D201D">
        <w:t>Medicare PFS Final</w:t>
      </w:r>
      <w:r w:rsidR="00F75979">
        <w:t xml:space="preserve"> Rule</w:t>
      </w:r>
      <w:r w:rsidR="002E3791">
        <w:t xml:space="preserve"> and in PQRS educational materials available on the PQRS website</w:t>
      </w:r>
      <w:r w:rsidR="00F000F0">
        <w:t>.</w:t>
      </w:r>
      <w:r w:rsidR="00F75979">
        <w:t xml:space="preserve"> </w:t>
      </w:r>
      <w:r w:rsidR="006B285D">
        <w:t xml:space="preserve">Meeting the criteria will </w:t>
      </w:r>
      <w:r w:rsidR="00130961">
        <w:t xml:space="preserve">also </w:t>
      </w:r>
      <w:r w:rsidR="006B285D">
        <w:t xml:space="preserve">ensure a </w:t>
      </w:r>
      <w:r w:rsidR="00EE19C7">
        <w:t>PQRS incentive payment</w:t>
      </w:r>
      <w:r w:rsidR="00F75979">
        <w:t xml:space="preserve"> equal to</w:t>
      </w:r>
      <w:r w:rsidR="00EE19C7">
        <w:t xml:space="preserve"> 0.5</w:t>
      </w:r>
      <w:r w:rsidR="00910D33">
        <w:t xml:space="preserve"> percent </w:t>
      </w:r>
      <w:r w:rsidR="00EE19C7">
        <w:t xml:space="preserve">of </w:t>
      </w:r>
      <w:r w:rsidR="001041FA">
        <w:t xml:space="preserve">estimated Medicare Part B allowed charges for </w:t>
      </w:r>
      <w:r w:rsidR="006B285D">
        <w:t>covered professional services in 2014</w:t>
      </w:r>
      <w:r w:rsidR="001041FA">
        <w:t>.</w:t>
      </w:r>
    </w:p>
    <w:p w:rsidR="002137CF" w:rsidRPr="003A12A5" w:rsidRDefault="001204B0" w:rsidP="00171FCB">
      <w:pPr>
        <w:pStyle w:val="ListParagraph"/>
        <w:spacing w:after="0" w:line="240" w:lineRule="auto"/>
        <w:ind w:left="720"/>
        <w:rPr>
          <w:b/>
        </w:rPr>
      </w:pPr>
      <w:r w:rsidRPr="003A12A5">
        <w:rPr>
          <w:b/>
        </w:rPr>
        <w:t>OR</w:t>
      </w:r>
    </w:p>
    <w:p w:rsidR="00E446E5" w:rsidRDefault="00D44474" w:rsidP="00B4314E">
      <w:pPr>
        <w:pStyle w:val="ListParagraph"/>
        <w:numPr>
          <w:ilvl w:val="0"/>
          <w:numId w:val="1"/>
        </w:numPr>
        <w:spacing w:after="0" w:line="240" w:lineRule="auto"/>
      </w:pPr>
      <w:r w:rsidRPr="00D44474">
        <w:t>Participate</w:t>
      </w:r>
      <w:r>
        <w:t>s</w:t>
      </w:r>
      <w:r w:rsidRPr="00D44474">
        <w:t xml:space="preserve"> </w:t>
      </w:r>
      <w:r w:rsidR="003A12A5">
        <w:t xml:space="preserve">in PQRS </w:t>
      </w:r>
      <w:r w:rsidRPr="00D44474">
        <w:t>via qualified clinical data registry</w:t>
      </w:r>
      <w:r w:rsidR="003B56D9">
        <w:t>, qualified registry, or claims</w:t>
      </w:r>
      <w:r w:rsidR="003A12A5">
        <w:t xml:space="preserve"> reporting</w:t>
      </w:r>
      <w:r w:rsidR="003B56D9">
        <w:t xml:space="preserve"> </w:t>
      </w:r>
      <w:r w:rsidR="003B56D9" w:rsidRPr="003B56D9">
        <w:rPr>
          <w:b/>
          <w:u w:val="single"/>
        </w:rPr>
        <w:t>and</w:t>
      </w:r>
      <w:r w:rsidR="007C0BCF" w:rsidRPr="007C0BCF">
        <w:rPr>
          <w:b/>
        </w:rPr>
        <w:t xml:space="preserve"> </w:t>
      </w:r>
      <w:r w:rsidR="007C0BCF" w:rsidRPr="007C0BCF">
        <w:t>r</w:t>
      </w:r>
      <w:r w:rsidRPr="007C0BCF">
        <w:t>eports</w:t>
      </w:r>
      <w:r>
        <w:t xml:space="preserve"> at least t</w:t>
      </w:r>
      <w:r w:rsidR="001644F5">
        <w:t>hree</w:t>
      </w:r>
      <w:r w:rsidR="001644F5" w:rsidRPr="001644F5">
        <w:t xml:space="preserve"> measures covering one N</w:t>
      </w:r>
      <w:r w:rsidR="006D2FFF">
        <w:t xml:space="preserve">ational </w:t>
      </w:r>
      <w:r w:rsidR="001644F5" w:rsidRPr="001644F5">
        <w:t>Q</w:t>
      </w:r>
      <w:r w:rsidR="006D2FFF">
        <w:t xml:space="preserve">uality </w:t>
      </w:r>
      <w:r w:rsidR="001644F5" w:rsidRPr="001644F5">
        <w:t>S</w:t>
      </w:r>
      <w:r w:rsidR="006D2FFF">
        <w:t>trategy</w:t>
      </w:r>
      <w:r w:rsidR="001644F5" w:rsidRPr="001644F5">
        <w:t xml:space="preserve"> domain for at least 50 percent of the </w:t>
      </w:r>
      <w:r w:rsidR="001644F5">
        <w:t>eligible professional’</w:t>
      </w:r>
      <w:r w:rsidR="00856AF6">
        <w:t xml:space="preserve">s Medicare Part B </w:t>
      </w:r>
      <w:r w:rsidR="008E6D85" w:rsidRPr="007C0BCF">
        <w:rPr>
          <w:rFonts w:cs="Arial"/>
          <w:bCs/>
        </w:rPr>
        <w:t xml:space="preserve">FFS </w:t>
      </w:r>
      <w:r w:rsidR="00F21AC9">
        <w:t>patients</w:t>
      </w:r>
      <w:r w:rsidR="00E90439">
        <w:t>.</w:t>
      </w:r>
    </w:p>
    <w:p w:rsidR="00B4314E" w:rsidRDefault="00B4314E" w:rsidP="00B4314E">
      <w:pPr>
        <w:spacing w:after="0" w:line="240" w:lineRule="auto"/>
        <w:rPr>
          <w:u w:val="single"/>
        </w:rPr>
      </w:pPr>
    </w:p>
    <w:p w:rsidR="00B4314E" w:rsidRDefault="007D1FEA" w:rsidP="00B4314E">
      <w:pPr>
        <w:spacing w:after="0" w:line="240" w:lineRule="auto"/>
        <w:rPr>
          <w:u w:val="single"/>
        </w:rPr>
      </w:pPr>
      <w:r w:rsidRPr="00964AF2">
        <w:rPr>
          <w:u w:val="single"/>
        </w:rPr>
        <w:t xml:space="preserve">For </w:t>
      </w:r>
      <w:r w:rsidR="00CA4F74">
        <w:rPr>
          <w:u w:val="single"/>
        </w:rPr>
        <w:t xml:space="preserve">a </w:t>
      </w:r>
      <w:r w:rsidRPr="00964AF2">
        <w:rPr>
          <w:u w:val="single"/>
        </w:rPr>
        <w:t>Group</w:t>
      </w:r>
      <w:r w:rsidR="002C6F6B">
        <w:rPr>
          <w:u w:val="single"/>
        </w:rPr>
        <w:t xml:space="preserve"> Practice</w:t>
      </w:r>
    </w:p>
    <w:p w:rsidR="00B4314E" w:rsidRDefault="00130961" w:rsidP="00B4314E">
      <w:pPr>
        <w:spacing w:after="0" w:line="240" w:lineRule="auto"/>
      </w:pPr>
      <w:r>
        <w:t xml:space="preserve">The group practice </w:t>
      </w:r>
      <w:r w:rsidR="00CE7759">
        <w:t xml:space="preserve">can </w:t>
      </w:r>
      <w:r>
        <w:t xml:space="preserve">avoid the 2016 PQRS payment adjustment if </w:t>
      </w:r>
      <w:r w:rsidR="00D2419A">
        <w:t>it</w:t>
      </w:r>
      <w:r>
        <w:t>:</w:t>
      </w:r>
    </w:p>
    <w:p w:rsidR="00B4314E" w:rsidRPr="00B4314E" w:rsidRDefault="00B4314E" w:rsidP="00B4314E">
      <w:pPr>
        <w:spacing w:after="0" w:line="240" w:lineRule="auto"/>
        <w:rPr>
          <w:u w:val="single"/>
        </w:rPr>
      </w:pPr>
    </w:p>
    <w:p w:rsidR="002137CF" w:rsidRPr="008847C7" w:rsidRDefault="003B56D9" w:rsidP="00B4314E">
      <w:pPr>
        <w:pStyle w:val="ListParagraph"/>
        <w:numPr>
          <w:ilvl w:val="0"/>
          <w:numId w:val="3"/>
        </w:numPr>
        <w:spacing w:after="0" w:line="240" w:lineRule="auto"/>
      </w:pPr>
      <w:r>
        <w:t>M</w:t>
      </w:r>
      <w:r w:rsidR="008B5BE5" w:rsidRPr="00130961">
        <w:rPr>
          <w:rFonts w:eastAsia="Times New Roman" w:cs="Arial"/>
        </w:rPr>
        <w:t>eet</w:t>
      </w:r>
      <w:r w:rsidR="00BC066A" w:rsidRPr="00130961">
        <w:rPr>
          <w:rFonts w:eastAsia="Times New Roman" w:cs="Arial"/>
        </w:rPr>
        <w:t>s</w:t>
      </w:r>
      <w:r w:rsidR="008B5BE5" w:rsidRPr="00130961">
        <w:rPr>
          <w:rFonts w:eastAsia="Times New Roman" w:cs="Arial"/>
        </w:rPr>
        <w:t xml:space="preserve"> </w:t>
      </w:r>
      <w:r w:rsidR="009A506C">
        <w:rPr>
          <w:rFonts w:eastAsia="Times New Roman" w:cs="Arial"/>
        </w:rPr>
        <w:t>the</w:t>
      </w:r>
      <w:r w:rsidR="00D66031" w:rsidRPr="00130961">
        <w:rPr>
          <w:rFonts w:eastAsia="Times New Roman" w:cs="Arial"/>
        </w:rPr>
        <w:t xml:space="preserve"> </w:t>
      </w:r>
      <w:r w:rsidR="00F16FA5" w:rsidRPr="00130961">
        <w:rPr>
          <w:rFonts w:eastAsia="Times New Roman" w:cs="Arial"/>
        </w:rPr>
        <w:t>Group Practice Reporting Option (</w:t>
      </w:r>
      <w:r w:rsidR="00D66031" w:rsidRPr="00130961">
        <w:rPr>
          <w:rFonts w:eastAsia="Times New Roman" w:cs="Arial"/>
        </w:rPr>
        <w:t>GPRO</w:t>
      </w:r>
      <w:r w:rsidR="00F16FA5" w:rsidRPr="00130961">
        <w:rPr>
          <w:rFonts w:eastAsia="Times New Roman" w:cs="Arial"/>
        </w:rPr>
        <w:t>)</w:t>
      </w:r>
      <w:r w:rsidR="00D66031" w:rsidRPr="00130961">
        <w:rPr>
          <w:rFonts w:eastAsia="Times New Roman" w:cs="Arial"/>
        </w:rPr>
        <w:t xml:space="preserve"> </w:t>
      </w:r>
      <w:r w:rsidR="008B5BE5" w:rsidRPr="00130961">
        <w:rPr>
          <w:rFonts w:eastAsia="Times New Roman" w:cs="Arial"/>
        </w:rPr>
        <w:t>requirements</w:t>
      </w:r>
      <w:r w:rsidR="00D66031" w:rsidRPr="00130961">
        <w:rPr>
          <w:rFonts w:eastAsia="Times New Roman" w:cs="Arial"/>
        </w:rPr>
        <w:t xml:space="preserve"> for satisfactory reporting</w:t>
      </w:r>
      <w:r w:rsidR="00F16FA5" w:rsidRPr="00130961">
        <w:rPr>
          <w:rFonts w:eastAsia="Times New Roman" w:cs="Arial"/>
        </w:rPr>
        <w:t xml:space="preserve"> (which </w:t>
      </w:r>
      <w:r w:rsidR="00B73027">
        <w:rPr>
          <w:rFonts w:eastAsia="Times New Roman" w:cs="Arial"/>
        </w:rPr>
        <w:t>are similar to</w:t>
      </w:r>
      <w:r w:rsidR="00B73027" w:rsidRPr="00130961">
        <w:rPr>
          <w:rFonts w:eastAsia="Times New Roman" w:cs="Arial"/>
        </w:rPr>
        <w:t xml:space="preserve"> </w:t>
      </w:r>
      <w:r w:rsidR="00F16FA5" w:rsidRPr="00130961">
        <w:rPr>
          <w:rFonts w:eastAsia="Times New Roman" w:cs="Arial"/>
        </w:rPr>
        <w:t xml:space="preserve">the </w:t>
      </w:r>
      <w:r w:rsidR="00C96125" w:rsidRPr="00130961">
        <w:rPr>
          <w:rFonts w:eastAsia="Times New Roman" w:cs="Arial"/>
        </w:rPr>
        <w:t xml:space="preserve">criteria for satisfactory reporting for the </w:t>
      </w:r>
      <w:r w:rsidR="00675C4C" w:rsidRPr="00130961">
        <w:rPr>
          <w:rFonts w:eastAsia="Times New Roman" w:cs="Arial"/>
        </w:rPr>
        <w:t xml:space="preserve">2014 </w:t>
      </w:r>
      <w:r w:rsidR="00C96125" w:rsidRPr="00130961">
        <w:rPr>
          <w:rFonts w:eastAsia="Times New Roman" w:cs="Arial"/>
        </w:rPr>
        <w:t xml:space="preserve">PQRS </w:t>
      </w:r>
      <w:r w:rsidR="00122789" w:rsidRPr="00130961">
        <w:rPr>
          <w:rFonts w:eastAsia="Times New Roman" w:cs="Arial"/>
        </w:rPr>
        <w:t>incentive</w:t>
      </w:r>
      <w:r w:rsidR="00C96125" w:rsidRPr="00130961">
        <w:rPr>
          <w:rFonts w:eastAsia="Times New Roman" w:cs="Arial"/>
        </w:rPr>
        <w:t>)</w:t>
      </w:r>
      <w:r w:rsidR="00105BCA" w:rsidRPr="00130961">
        <w:rPr>
          <w:rFonts w:eastAsia="Times New Roman" w:cs="Arial"/>
        </w:rPr>
        <w:t>,</w:t>
      </w:r>
      <w:r w:rsidR="008B5BE5" w:rsidRPr="00130961">
        <w:rPr>
          <w:rFonts w:eastAsia="Times New Roman" w:cs="Arial"/>
        </w:rPr>
        <w:t xml:space="preserve"> </w:t>
      </w:r>
      <w:r w:rsidR="00D66031" w:rsidRPr="00130961">
        <w:rPr>
          <w:rFonts w:eastAsia="Times New Roman" w:cs="Arial"/>
        </w:rPr>
        <w:t xml:space="preserve">as </w:t>
      </w:r>
      <w:r w:rsidR="00B30985">
        <w:rPr>
          <w:rFonts w:eastAsia="Times New Roman" w:cs="Arial"/>
        </w:rPr>
        <w:t>identified</w:t>
      </w:r>
      <w:r w:rsidR="00B30985" w:rsidRPr="00130961">
        <w:rPr>
          <w:rFonts w:eastAsia="Times New Roman" w:cs="Arial"/>
        </w:rPr>
        <w:t xml:space="preserve"> </w:t>
      </w:r>
      <w:r w:rsidR="007A5ECE" w:rsidRPr="00130961">
        <w:rPr>
          <w:rFonts w:eastAsia="Times New Roman" w:cs="Arial"/>
        </w:rPr>
        <w:t xml:space="preserve">in the </w:t>
      </w:r>
      <w:r w:rsidR="00675C4C" w:rsidRPr="00130961">
        <w:rPr>
          <w:rFonts w:asciiTheme="minorHAnsi" w:eastAsia="Times New Roman" w:hAnsiTheme="minorHAnsi" w:cs="Arial"/>
        </w:rPr>
        <w:t xml:space="preserve">2014 </w:t>
      </w:r>
      <w:r w:rsidR="008D201D" w:rsidRPr="00130961">
        <w:rPr>
          <w:rFonts w:asciiTheme="minorHAnsi" w:eastAsia="Times New Roman" w:hAnsiTheme="minorHAnsi" w:cs="Arial"/>
        </w:rPr>
        <w:t xml:space="preserve">Medicare </w:t>
      </w:r>
      <w:r w:rsidR="00F16FA5" w:rsidRPr="00130961">
        <w:rPr>
          <w:rFonts w:asciiTheme="minorHAnsi" w:eastAsia="Times New Roman" w:hAnsiTheme="minorHAnsi" w:cs="Arial"/>
        </w:rPr>
        <w:t>PFS Final Rule</w:t>
      </w:r>
      <w:r w:rsidR="002E3791" w:rsidRPr="002E3791">
        <w:t xml:space="preserve"> </w:t>
      </w:r>
      <w:r w:rsidR="002E3791">
        <w:t>and in PQRS educational materials available on the PQRS website</w:t>
      </w:r>
      <w:r w:rsidR="00122789" w:rsidRPr="00130961">
        <w:rPr>
          <w:rFonts w:eastAsia="Times New Roman" w:cs="Arial"/>
        </w:rPr>
        <w:t>.</w:t>
      </w:r>
    </w:p>
    <w:p w:rsidR="008847C7" w:rsidRPr="003A12A5" w:rsidRDefault="001204B0" w:rsidP="008847C7">
      <w:pPr>
        <w:pStyle w:val="ListParagraph"/>
        <w:keepNext/>
        <w:keepLines/>
        <w:spacing w:after="0" w:line="240" w:lineRule="auto"/>
        <w:ind w:left="720"/>
        <w:rPr>
          <w:b/>
        </w:rPr>
      </w:pPr>
      <w:r w:rsidRPr="003A12A5">
        <w:rPr>
          <w:b/>
        </w:rPr>
        <w:t>OR</w:t>
      </w:r>
    </w:p>
    <w:p w:rsidR="003B56D9" w:rsidRPr="00130961" w:rsidRDefault="003B56D9" w:rsidP="00130961">
      <w:pPr>
        <w:pStyle w:val="ListParagraph"/>
        <w:keepNext/>
        <w:keepLines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D44474">
        <w:t>Participate</w:t>
      </w:r>
      <w:r>
        <w:t>s</w:t>
      </w:r>
      <w:r w:rsidRPr="00D44474">
        <w:t xml:space="preserve"> </w:t>
      </w:r>
      <w:r w:rsidR="003A12A5">
        <w:t xml:space="preserve">in PQRS </w:t>
      </w:r>
      <w:r w:rsidRPr="00D44474">
        <w:t xml:space="preserve">via </w:t>
      </w:r>
      <w:r>
        <w:t>qualified registry</w:t>
      </w:r>
      <w:r w:rsidR="003A12A5">
        <w:t xml:space="preserve"> reporting</w:t>
      </w:r>
      <w:r>
        <w:t xml:space="preserve"> </w:t>
      </w:r>
      <w:r w:rsidRPr="00130961">
        <w:rPr>
          <w:b/>
          <w:u w:val="single"/>
        </w:rPr>
        <w:t>and</w:t>
      </w:r>
      <w:r w:rsidR="00130961">
        <w:t xml:space="preserve"> r</w:t>
      </w:r>
      <w:r>
        <w:t>eports at least three</w:t>
      </w:r>
      <w:r w:rsidRPr="001644F5">
        <w:t xml:space="preserve"> measures covering one NQS domain for at least 50 percent of the </w:t>
      </w:r>
      <w:r>
        <w:t xml:space="preserve">group practice’s Medicare Part B </w:t>
      </w:r>
      <w:r w:rsidRPr="00130961">
        <w:rPr>
          <w:rFonts w:cs="Arial"/>
          <w:bCs/>
        </w:rPr>
        <w:t xml:space="preserve">FFS </w:t>
      </w:r>
      <w:r>
        <w:t>patients.</w:t>
      </w:r>
    </w:p>
    <w:p w:rsidR="00EF6348" w:rsidRDefault="00EF6348" w:rsidP="00171FCB">
      <w:pPr>
        <w:pStyle w:val="NormalWeb"/>
        <w:rPr>
          <w:rFonts w:asciiTheme="minorHAnsi" w:hAnsiTheme="minorHAnsi" w:cs="Segoe UI"/>
          <w:color w:val="000000"/>
          <w:sz w:val="22"/>
          <w:szCs w:val="22"/>
          <w:bdr w:val="none" w:sz="0" w:space="0" w:color="auto" w:frame="1"/>
        </w:rPr>
      </w:pPr>
    </w:p>
    <w:p w:rsidR="003F1C51" w:rsidRDefault="00EF6348" w:rsidP="00171FCB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2"/>
          <w:bdr w:val="none" w:sz="0" w:space="0" w:color="auto" w:frame="1"/>
        </w:rPr>
        <w:t xml:space="preserve">For more information </w:t>
      </w:r>
      <w:r w:rsidR="006460F8">
        <w:rPr>
          <w:rFonts w:asciiTheme="minorHAnsi" w:hAnsiTheme="minorHAnsi" w:cs="Segoe UI"/>
          <w:color w:val="000000"/>
          <w:sz w:val="22"/>
          <w:szCs w:val="22"/>
          <w:bdr w:val="none" w:sz="0" w:space="0" w:color="auto" w:frame="1"/>
        </w:rPr>
        <w:t xml:space="preserve">about </w:t>
      </w:r>
      <w:r>
        <w:rPr>
          <w:rFonts w:asciiTheme="minorHAnsi" w:hAnsiTheme="minorHAnsi" w:cs="Segoe UI"/>
          <w:color w:val="000000"/>
          <w:sz w:val="22"/>
          <w:szCs w:val="22"/>
          <w:bdr w:val="none" w:sz="0" w:space="0" w:color="auto" w:frame="1"/>
        </w:rPr>
        <w:t xml:space="preserve">PQRS, </w:t>
      </w:r>
      <w:r w:rsidR="002364BF">
        <w:rPr>
          <w:rFonts w:asciiTheme="minorHAnsi" w:hAnsiTheme="minorHAnsi" w:cs="Segoe UI"/>
          <w:color w:val="000000"/>
          <w:sz w:val="22"/>
          <w:szCs w:val="22"/>
          <w:bdr w:val="none" w:sz="0" w:space="0" w:color="auto" w:frame="1"/>
        </w:rPr>
        <w:t xml:space="preserve">including </w:t>
      </w:r>
      <w:r w:rsidR="0086387F">
        <w:rPr>
          <w:rFonts w:asciiTheme="minorHAnsi" w:hAnsiTheme="minorHAnsi" w:cs="Segoe UI"/>
          <w:color w:val="000000"/>
          <w:sz w:val="22"/>
          <w:szCs w:val="22"/>
          <w:bdr w:val="none" w:sz="0" w:space="0" w:color="auto" w:frame="1"/>
        </w:rPr>
        <w:t>how to avoid payment adjustments</w:t>
      </w:r>
      <w:r w:rsidR="002364BF">
        <w:rPr>
          <w:rFonts w:asciiTheme="minorHAnsi" w:hAnsiTheme="minorHAnsi" w:cs="Segoe UI"/>
          <w:color w:val="000000"/>
          <w:sz w:val="22"/>
          <w:szCs w:val="22"/>
          <w:bdr w:val="none" w:sz="0" w:space="0" w:color="auto" w:frame="1"/>
        </w:rPr>
        <w:t xml:space="preserve">, </w:t>
      </w:r>
      <w:r w:rsidR="00F7621D">
        <w:rPr>
          <w:rFonts w:asciiTheme="minorHAnsi" w:hAnsiTheme="minorHAnsi" w:cs="Segoe UI"/>
          <w:color w:val="000000"/>
          <w:sz w:val="22"/>
          <w:szCs w:val="22"/>
          <w:bdr w:val="none" w:sz="0" w:space="0" w:color="auto" w:frame="1"/>
        </w:rPr>
        <w:t xml:space="preserve">please </w:t>
      </w:r>
      <w:r>
        <w:rPr>
          <w:rFonts w:asciiTheme="minorHAnsi" w:hAnsiTheme="minorHAnsi" w:cs="Segoe UI"/>
          <w:color w:val="000000"/>
          <w:sz w:val="22"/>
          <w:szCs w:val="22"/>
          <w:bdr w:val="none" w:sz="0" w:space="0" w:color="auto" w:frame="1"/>
        </w:rPr>
        <w:t xml:space="preserve">visit the </w:t>
      </w:r>
      <w:r w:rsidR="006460F8">
        <w:rPr>
          <w:rFonts w:asciiTheme="minorHAnsi" w:hAnsiTheme="minorHAnsi" w:cs="Segoe UI"/>
          <w:color w:val="000000"/>
          <w:sz w:val="22"/>
          <w:szCs w:val="22"/>
          <w:bdr w:val="none" w:sz="0" w:space="0" w:color="auto" w:frame="1"/>
        </w:rPr>
        <w:t xml:space="preserve">CMS </w:t>
      </w:r>
      <w:r>
        <w:rPr>
          <w:rFonts w:asciiTheme="minorHAnsi" w:hAnsiTheme="minorHAnsi" w:cs="Segoe UI"/>
          <w:color w:val="000000"/>
          <w:sz w:val="22"/>
          <w:szCs w:val="22"/>
          <w:bdr w:val="none" w:sz="0" w:space="0" w:color="auto" w:frame="1"/>
        </w:rPr>
        <w:t>PQRS website</w:t>
      </w:r>
      <w:r w:rsidR="006460F8">
        <w:rPr>
          <w:rFonts w:asciiTheme="minorHAnsi" w:hAnsiTheme="minorHAnsi" w:cs="Segoe UI"/>
          <w:color w:val="000000"/>
          <w:sz w:val="22"/>
          <w:szCs w:val="22"/>
          <w:bdr w:val="none" w:sz="0" w:space="0" w:color="auto" w:frame="1"/>
        </w:rPr>
        <w:t>:</w:t>
      </w:r>
      <w:r w:rsidR="005E2441" w:rsidRPr="005E2441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585646" w:rsidRPr="00585646">
          <w:rPr>
            <w:rStyle w:val="Hyperlink"/>
            <w:rFonts w:asciiTheme="minorHAnsi" w:hAnsiTheme="minorHAnsi"/>
            <w:sz w:val="22"/>
            <w:szCs w:val="22"/>
          </w:rPr>
          <w:t>http://www.cms.gov/PQRS</w:t>
        </w:r>
      </w:hyperlink>
      <w:r w:rsidR="005E2441" w:rsidRPr="005E2441">
        <w:rPr>
          <w:rFonts w:asciiTheme="minorHAnsi" w:hAnsiTheme="minorHAnsi"/>
          <w:sz w:val="22"/>
          <w:szCs w:val="22"/>
        </w:rPr>
        <w:t xml:space="preserve">. </w:t>
      </w:r>
    </w:p>
    <w:p w:rsidR="00C13BAB" w:rsidRDefault="00C13BAB" w:rsidP="005E2441">
      <w:pPr>
        <w:pStyle w:val="NormalWeb"/>
        <w:rPr>
          <w:rFonts w:asciiTheme="minorHAnsi" w:hAnsiTheme="minorHAnsi" w:cs="Segoe UI"/>
          <w:color w:val="000000"/>
          <w:sz w:val="22"/>
          <w:szCs w:val="22"/>
        </w:rPr>
      </w:pPr>
    </w:p>
    <w:p w:rsidR="00BD65F1" w:rsidRDefault="00BD65F1" w:rsidP="00BD65F1">
      <w:pPr>
        <w:pStyle w:val="NormalWeb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###</w:t>
      </w:r>
    </w:p>
    <w:p w:rsidR="00B22F08" w:rsidRPr="005E2441" w:rsidRDefault="00B22F08" w:rsidP="00BD65F1">
      <w:pPr>
        <w:pStyle w:val="NormalWeb"/>
        <w:jc w:val="center"/>
        <w:rPr>
          <w:rFonts w:asciiTheme="minorHAnsi" w:hAnsiTheme="minorHAnsi" w:cs="Segoe UI"/>
          <w:color w:val="000000"/>
          <w:sz w:val="22"/>
          <w:szCs w:val="22"/>
        </w:rPr>
      </w:pPr>
    </w:p>
    <w:sectPr w:rsidR="00B22F08" w:rsidRPr="005E2441" w:rsidSect="007B41F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09" w:rsidRDefault="00331909" w:rsidP="005F1F5B">
      <w:pPr>
        <w:spacing w:after="0" w:line="240" w:lineRule="auto"/>
      </w:pPr>
      <w:r>
        <w:separator/>
      </w:r>
    </w:p>
  </w:endnote>
  <w:endnote w:type="continuationSeparator" w:id="0">
    <w:p w:rsidR="00331909" w:rsidRDefault="00331909" w:rsidP="005F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A6" w:rsidRDefault="00D502A6" w:rsidP="00DA67BE">
    <w:pPr>
      <w:rPr>
        <w:color w:val="1F497D"/>
        <w:sz w:val="20"/>
        <w:szCs w:val="20"/>
      </w:rPr>
    </w:pPr>
  </w:p>
  <w:p w:rsidR="00D502A6" w:rsidRDefault="00D502A6">
    <w:pPr>
      <w:pStyle w:val="Footer"/>
    </w:pPr>
  </w:p>
  <w:p w:rsidR="00D502A6" w:rsidRDefault="00D5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09" w:rsidRDefault="00331909" w:rsidP="005F1F5B">
      <w:pPr>
        <w:spacing w:after="0" w:line="240" w:lineRule="auto"/>
      </w:pPr>
      <w:r>
        <w:separator/>
      </w:r>
    </w:p>
  </w:footnote>
  <w:footnote w:type="continuationSeparator" w:id="0">
    <w:p w:rsidR="00331909" w:rsidRDefault="00331909" w:rsidP="005F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23E9"/>
    <w:multiLevelType w:val="hybridMultilevel"/>
    <w:tmpl w:val="2D02130A"/>
    <w:lvl w:ilvl="0" w:tplc="6CCC2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94959"/>
    <w:multiLevelType w:val="hybridMultilevel"/>
    <w:tmpl w:val="E9A298E2"/>
    <w:lvl w:ilvl="0" w:tplc="6CCC2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20E0C"/>
    <w:multiLevelType w:val="hybridMultilevel"/>
    <w:tmpl w:val="3814A7D6"/>
    <w:lvl w:ilvl="0" w:tplc="6CCC2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2"/>
    <w:rsid w:val="00030D5E"/>
    <w:rsid w:val="0003271A"/>
    <w:rsid w:val="000401D2"/>
    <w:rsid w:val="00072F7B"/>
    <w:rsid w:val="000A7ADE"/>
    <w:rsid w:val="000E6B52"/>
    <w:rsid w:val="0010135B"/>
    <w:rsid w:val="00101902"/>
    <w:rsid w:val="001041FA"/>
    <w:rsid w:val="0010445C"/>
    <w:rsid w:val="00105BCA"/>
    <w:rsid w:val="00106E19"/>
    <w:rsid w:val="00114B60"/>
    <w:rsid w:val="001204B0"/>
    <w:rsid w:val="00122789"/>
    <w:rsid w:val="00124F94"/>
    <w:rsid w:val="00125C63"/>
    <w:rsid w:val="00130961"/>
    <w:rsid w:val="00134A17"/>
    <w:rsid w:val="00140336"/>
    <w:rsid w:val="001562EA"/>
    <w:rsid w:val="00161664"/>
    <w:rsid w:val="001644F5"/>
    <w:rsid w:val="00171FCB"/>
    <w:rsid w:val="00172D76"/>
    <w:rsid w:val="00196929"/>
    <w:rsid w:val="001B50BB"/>
    <w:rsid w:val="001B77E0"/>
    <w:rsid w:val="001E3F47"/>
    <w:rsid w:val="00202A4D"/>
    <w:rsid w:val="002137CF"/>
    <w:rsid w:val="00220C1A"/>
    <w:rsid w:val="002364BF"/>
    <w:rsid w:val="00236963"/>
    <w:rsid w:val="0026233B"/>
    <w:rsid w:val="002C6F6B"/>
    <w:rsid w:val="002D0C74"/>
    <w:rsid w:val="002E3791"/>
    <w:rsid w:val="00304D21"/>
    <w:rsid w:val="003318C5"/>
    <w:rsid w:val="00331909"/>
    <w:rsid w:val="003376DF"/>
    <w:rsid w:val="00357F19"/>
    <w:rsid w:val="003604A3"/>
    <w:rsid w:val="00384118"/>
    <w:rsid w:val="00384FFA"/>
    <w:rsid w:val="00395FB3"/>
    <w:rsid w:val="003A12A5"/>
    <w:rsid w:val="003B2A3A"/>
    <w:rsid w:val="003B56D9"/>
    <w:rsid w:val="003E3A33"/>
    <w:rsid w:val="003F1C51"/>
    <w:rsid w:val="004044BC"/>
    <w:rsid w:val="00432F5F"/>
    <w:rsid w:val="0044202F"/>
    <w:rsid w:val="00446813"/>
    <w:rsid w:val="004758C4"/>
    <w:rsid w:val="00492624"/>
    <w:rsid w:val="00496505"/>
    <w:rsid w:val="004B4FFC"/>
    <w:rsid w:val="005240A8"/>
    <w:rsid w:val="005301E1"/>
    <w:rsid w:val="0054283A"/>
    <w:rsid w:val="00566CA8"/>
    <w:rsid w:val="0057296A"/>
    <w:rsid w:val="005768D9"/>
    <w:rsid w:val="00585646"/>
    <w:rsid w:val="005945BC"/>
    <w:rsid w:val="005A7B28"/>
    <w:rsid w:val="005B054F"/>
    <w:rsid w:val="005D125A"/>
    <w:rsid w:val="005E2441"/>
    <w:rsid w:val="005F1F5B"/>
    <w:rsid w:val="005F3C99"/>
    <w:rsid w:val="005F410E"/>
    <w:rsid w:val="006460F8"/>
    <w:rsid w:val="00652092"/>
    <w:rsid w:val="00652A3C"/>
    <w:rsid w:val="00655775"/>
    <w:rsid w:val="0065583F"/>
    <w:rsid w:val="00655A06"/>
    <w:rsid w:val="00666EEA"/>
    <w:rsid w:val="00670671"/>
    <w:rsid w:val="00675C4C"/>
    <w:rsid w:val="00685F75"/>
    <w:rsid w:val="006A1978"/>
    <w:rsid w:val="006B285D"/>
    <w:rsid w:val="006B4066"/>
    <w:rsid w:val="006D2FFF"/>
    <w:rsid w:val="006D5473"/>
    <w:rsid w:val="006D5F03"/>
    <w:rsid w:val="0071133E"/>
    <w:rsid w:val="00717FA4"/>
    <w:rsid w:val="00735BD4"/>
    <w:rsid w:val="007439F4"/>
    <w:rsid w:val="00756AF4"/>
    <w:rsid w:val="007575A6"/>
    <w:rsid w:val="007727DA"/>
    <w:rsid w:val="0079320F"/>
    <w:rsid w:val="007A3A8A"/>
    <w:rsid w:val="007A5ECE"/>
    <w:rsid w:val="007B41F6"/>
    <w:rsid w:val="007C0BCF"/>
    <w:rsid w:val="007C14B2"/>
    <w:rsid w:val="007D1FEA"/>
    <w:rsid w:val="007F4B88"/>
    <w:rsid w:val="00804E8B"/>
    <w:rsid w:val="00811E49"/>
    <w:rsid w:val="00813A82"/>
    <w:rsid w:val="008445FA"/>
    <w:rsid w:val="00850081"/>
    <w:rsid w:val="00851B1F"/>
    <w:rsid w:val="00856AF6"/>
    <w:rsid w:val="008579CD"/>
    <w:rsid w:val="0086387F"/>
    <w:rsid w:val="008679D0"/>
    <w:rsid w:val="00875020"/>
    <w:rsid w:val="00875F00"/>
    <w:rsid w:val="008847C7"/>
    <w:rsid w:val="008A76C3"/>
    <w:rsid w:val="008B5BE5"/>
    <w:rsid w:val="008C3F43"/>
    <w:rsid w:val="008D201D"/>
    <w:rsid w:val="008E6D85"/>
    <w:rsid w:val="0090252A"/>
    <w:rsid w:val="00905CFB"/>
    <w:rsid w:val="00910D33"/>
    <w:rsid w:val="00916298"/>
    <w:rsid w:val="00920A68"/>
    <w:rsid w:val="0093661B"/>
    <w:rsid w:val="009369E0"/>
    <w:rsid w:val="009630E8"/>
    <w:rsid w:val="00964AF2"/>
    <w:rsid w:val="0096676C"/>
    <w:rsid w:val="00981510"/>
    <w:rsid w:val="009A506C"/>
    <w:rsid w:val="009A7EF8"/>
    <w:rsid w:val="009B196F"/>
    <w:rsid w:val="009B340A"/>
    <w:rsid w:val="009C4A4A"/>
    <w:rsid w:val="009D1AAC"/>
    <w:rsid w:val="00A02450"/>
    <w:rsid w:val="00A27179"/>
    <w:rsid w:val="00A35031"/>
    <w:rsid w:val="00A50517"/>
    <w:rsid w:val="00A54255"/>
    <w:rsid w:val="00A84AE3"/>
    <w:rsid w:val="00AA4E1E"/>
    <w:rsid w:val="00AD6448"/>
    <w:rsid w:val="00AE6487"/>
    <w:rsid w:val="00B22F08"/>
    <w:rsid w:val="00B30985"/>
    <w:rsid w:val="00B3669D"/>
    <w:rsid w:val="00B4314E"/>
    <w:rsid w:val="00B43DB1"/>
    <w:rsid w:val="00B479A3"/>
    <w:rsid w:val="00B73027"/>
    <w:rsid w:val="00B74C6B"/>
    <w:rsid w:val="00B838E9"/>
    <w:rsid w:val="00B852F4"/>
    <w:rsid w:val="00B95685"/>
    <w:rsid w:val="00B9630B"/>
    <w:rsid w:val="00BC066A"/>
    <w:rsid w:val="00BC7DA3"/>
    <w:rsid w:val="00BD65F1"/>
    <w:rsid w:val="00BE629D"/>
    <w:rsid w:val="00C0475A"/>
    <w:rsid w:val="00C13BAB"/>
    <w:rsid w:val="00C50623"/>
    <w:rsid w:val="00C80DBC"/>
    <w:rsid w:val="00C83978"/>
    <w:rsid w:val="00C96125"/>
    <w:rsid w:val="00CA4F74"/>
    <w:rsid w:val="00CE7759"/>
    <w:rsid w:val="00CF6141"/>
    <w:rsid w:val="00D02A7D"/>
    <w:rsid w:val="00D2419A"/>
    <w:rsid w:val="00D25CA8"/>
    <w:rsid w:val="00D3324E"/>
    <w:rsid w:val="00D41246"/>
    <w:rsid w:val="00D44474"/>
    <w:rsid w:val="00D45014"/>
    <w:rsid w:val="00D502A6"/>
    <w:rsid w:val="00D549E9"/>
    <w:rsid w:val="00D66031"/>
    <w:rsid w:val="00D71953"/>
    <w:rsid w:val="00D9094F"/>
    <w:rsid w:val="00D94AED"/>
    <w:rsid w:val="00DA67BE"/>
    <w:rsid w:val="00DD5B12"/>
    <w:rsid w:val="00DE76CB"/>
    <w:rsid w:val="00E02D78"/>
    <w:rsid w:val="00E36BF7"/>
    <w:rsid w:val="00E446E5"/>
    <w:rsid w:val="00E613BD"/>
    <w:rsid w:val="00E616AA"/>
    <w:rsid w:val="00E653AE"/>
    <w:rsid w:val="00E65644"/>
    <w:rsid w:val="00E90439"/>
    <w:rsid w:val="00E9642A"/>
    <w:rsid w:val="00EB47A6"/>
    <w:rsid w:val="00EB7A78"/>
    <w:rsid w:val="00EE19C7"/>
    <w:rsid w:val="00EF6348"/>
    <w:rsid w:val="00F000F0"/>
    <w:rsid w:val="00F0191A"/>
    <w:rsid w:val="00F16FA5"/>
    <w:rsid w:val="00F20265"/>
    <w:rsid w:val="00F21AC9"/>
    <w:rsid w:val="00F34A41"/>
    <w:rsid w:val="00F37CF5"/>
    <w:rsid w:val="00F6098D"/>
    <w:rsid w:val="00F751D5"/>
    <w:rsid w:val="00F75979"/>
    <w:rsid w:val="00F7621D"/>
    <w:rsid w:val="00F83022"/>
    <w:rsid w:val="00F97896"/>
    <w:rsid w:val="00FA1683"/>
    <w:rsid w:val="00FC7ABF"/>
    <w:rsid w:val="00FD779D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2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42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BAB"/>
    <w:pPr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F5B"/>
  </w:style>
  <w:style w:type="paragraph" w:styleId="Footer">
    <w:name w:val="footer"/>
    <w:basedOn w:val="Normal"/>
    <w:link w:val="FooterChar"/>
    <w:uiPriority w:val="99"/>
    <w:unhideWhenUsed/>
    <w:rsid w:val="005F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F5B"/>
  </w:style>
  <w:style w:type="character" w:styleId="CommentReference">
    <w:name w:val="annotation reference"/>
    <w:basedOn w:val="DefaultParagraphFont"/>
    <w:uiPriority w:val="99"/>
    <w:semiHidden/>
    <w:unhideWhenUsed/>
    <w:rsid w:val="00D33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2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32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66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2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42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BAB"/>
    <w:pPr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F5B"/>
  </w:style>
  <w:style w:type="paragraph" w:styleId="Footer">
    <w:name w:val="footer"/>
    <w:basedOn w:val="Normal"/>
    <w:link w:val="FooterChar"/>
    <w:uiPriority w:val="99"/>
    <w:unhideWhenUsed/>
    <w:rsid w:val="005F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F5B"/>
  </w:style>
  <w:style w:type="character" w:styleId="CommentReference">
    <w:name w:val="annotation reference"/>
    <w:basedOn w:val="DefaultParagraphFont"/>
    <w:uiPriority w:val="99"/>
    <w:semiHidden/>
    <w:unhideWhenUsed/>
    <w:rsid w:val="00D33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2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32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6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ms.gov/PQ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FCB9-CB87-44D6-995E-9D599141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Ketchum Inc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Brittany Singer</cp:lastModifiedBy>
  <cp:revision>6</cp:revision>
  <cp:lastPrinted>2013-06-12T20:54:00Z</cp:lastPrinted>
  <dcterms:created xsi:type="dcterms:W3CDTF">2014-02-19T16:25:00Z</dcterms:created>
  <dcterms:modified xsi:type="dcterms:W3CDTF">2014-03-05T18:53:00Z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-2104116306</vt:i4>
  </property>
  <property fmtid="{D5CDD505-2E9C-101B-9397-08002B2CF9AE}" pid="4" name="_EmailSubject">
    <vt:lpwstr>CMS Drop-In Articles on PQRS</vt:lpwstr>
  </property>
  <property fmtid="{D5CDD505-2E9C-101B-9397-08002B2CF9AE}" pid="5" name="_AuthorEmail">
    <vt:lpwstr>Patrick.Hamilton@cms.hhs.gov</vt:lpwstr>
  </property>
  <property fmtid="{D5CDD505-2E9C-101B-9397-08002B2CF9AE}" pid="6" name="_AuthorEmailDisplayName">
    <vt:lpwstr>Hamilton, Patrick M. (CMS/CFMFFSO)</vt:lpwstr>
  </property>
  <property fmtid="{D5CDD505-2E9C-101B-9397-08002B2CF9AE}" pid="7" name="_PreviousAdHocReviewCycleID">
    <vt:i4>1432818947</vt:i4>
  </property>
</Properties>
</file>